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24"/>
          <w:szCs w:val="32"/>
          <w:lang w:val="en-US" w:eastAsia="zh-CN"/>
        </w:rPr>
      </w:pPr>
      <w:bookmarkStart w:id="0" w:name="_GoBack"/>
      <w:bookmarkEnd w:id="0"/>
    </w:p>
    <w:p>
      <w:pPr>
        <w:jc w:val="center"/>
        <w:rPr>
          <w:rFonts w:hint="eastAsia"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_______________________________</w:t>
      </w:r>
    </w:p>
    <w:p>
      <w:pPr>
        <w:jc w:val="center"/>
        <w:rPr>
          <w:rFonts w:hint="default" w:ascii="Times New Roman" w:hAnsi="Times New Roman" w:cs="Times New Roman"/>
          <w:b/>
          <w:bCs/>
          <w:sz w:val="24"/>
          <w:szCs w:val="32"/>
          <w:lang w:val="en-US" w:eastAsia="zh-CN"/>
        </w:rPr>
      </w:pPr>
    </w:p>
    <w:p>
      <w:pPr>
        <w:jc w:val="center"/>
        <w:rPr>
          <w:rFonts w:hint="eastAsia"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3SBIO INC</w:t>
      </w:r>
    </w:p>
    <w:p>
      <w:pPr>
        <w:jc w:val="center"/>
        <w:rPr>
          <w:rFonts w:hint="default" w:ascii="Times New Roman" w:hAnsi="Times New Roman" w:cs="Times New Roman"/>
          <w:b/>
          <w:bCs/>
          <w:sz w:val="22"/>
          <w:szCs w:val="28"/>
        </w:rPr>
      </w:pPr>
      <w:r>
        <w:rPr>
          <w:rFonts w:hint="eastAsia" w:ascii="Times New Roman" w:hAnsi="Times New Roman" w:cs="Times New Roman"/>
          <w:b/>
          <w:bCs/>
          <w:sz w:val="22"/>
          <w:szCs w:val="28"/>
          <w:lang w:val="en-US" w:eastAsia="zh-CN"/>
        </w:rPr>
        <w:t>BOARD DIVERSITY</w:t>
      </w:r>
      <w:r>
        <w:rPr>
          <w:rFonts w:hint="default" w:ascii="Times New Roman" w:hAnsi="Times New Roman" w:cs="Times New Roman"/>
          <w:b/>
          <w:bCs/>
          <w:sz w:val="22"/>
          <w:szCs w:val="28"/>
        </w:rPr>
        <w:t xml:space="preserve"> POLICY</w:t>
      </w:r>
    </w:p>
    <w:p>
      <w:pPr>
        <w:jc w:val="center"/>
        <w:rPr>
          <w:rFonts w:hint="default" w:ascii="Times New Roman" w:hAnsi="Times New Roman" w:cs="Times New Roman" w:eastAsiaTheme="minorEastAsia"/>
          <w:b/>
          <w:bCs/>
          <w:sz w:val="24"/>
          <w:szCs w:val="32"/>
          <w:lang w:val="en-US" w:eastAsia="zh-CN"/>
        </w:rPr>
      </w:pPr>
      <w:r>
        <w:rPr>
          <w:rFonts w:hint="eastAsia" w:ascii="Times New Roman" w:hAnsi="Times New Roman" w:cs="Times New Roman"/>
          <w:b/>
          <w:bCs/>
          <w:sz w:val="24"/>
          <w:szCs w:val="32"/>
          <w:lang w:val="en-US" w:eastAsia="zh-CN"/>
        </w:rPr>
        <w:t>_______________________________</w:t>
      </w: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widowControl w:val="0"/>
        <w:numPr>
          <w:ilvl w:val="-1"/>
          <w:numId w:val="0"/>
        </w:numPr>
        <w:ind w:left="420" w:leftChars="0" w:firstLine="0" w:firstLineChars="0"/>
        <w:jc w:val="both"/>
        <w:rPr>
          <w:rFonts w:hint="eastAsia" w:ascii="Times New Roman" w:hAnsi="Times New Roman" w:cs="Times New Roman"/>
          <w:sz w:val="22"/>
          <w:szCs w:val="22"/>
          <w:highlight w:val="none"/>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eastAsia" w:ascii="Times New Roman" w:hAnsi="Times New Roman" w:cs="Times New Roman"/>
          <w:b/>
          <w:bCs/>
          <w:sz w:val="22"/>
          <w:szCs w:val="22"/>
          <w:highlight w:val="none"/>
          <w:lang w:val="en-US" w:eastAsia="zh-CN"/>
        </w:rPr>
        <w:t xml:space="preserve">Vision:  </w:t>
      </w:r>
      <w:r>
        <w:rPr>
          <w:rFonts w:hint="eastAsia" w:ascii="Times New Roman" w:hAnsi="Times New Roman" w:cs="Times New Roman"/>
          <w:b w:val="0"/>
          <w:bCs w:val="0"/>
          <w:sz w:val="22"/>
          <w:szCs w:val="22"/>
          <w:highlight w:val="none"/>
          <w:lang w:val="en-US" w:eastAsia="zh-CN"/>
        </w:rPr>
        <w:t xml:space="preserve">The Company recognises and embraces the benefits of having a diverse Board to enhance the quality of its performance. </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eastAsia" w:ascii="Times New Roman" w:hAnsi="Times New Roman" w:cs="Times New Roman"/>
          <w:b/>
          <w:bCs/>
          <w:sz w:val="22"/>
          <w:szCs w:val="22"/>
          <w:lang w:val="en-US" w:eastAsia="zh-CN"/>
        </w:rPr>
        <w:t>Board Diversity</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The Company aims to maintain an appropriate balance of diversity perspectives of the Board</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 xml:space="preserve"> </w:t>
      </w:r>
      <w:r>
        <w:rPr>
          <w:rFonts w:hint="default" w:ascii="Times New Roman" w:hAnsi="Times New Roman" w:cs="Times New Roman"/>
          <w:sz w:val="22"/>
          <w:szCs w:val="22"/>
        </w:rPr>
        <w:t>in order to provide a range of insights that enable the Board to discharge its duties and responsibilities effectively,</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rPr>
        <w:t>support good decision making in view of the core businesses and strategy of the</w:t>
      </w:r>
      <w:r>
        <w:rPr>
          <w:rFonts w:hint="eastAsia" w:ascii="Times New Roman" w:hAnsi="Times New Roman" w:cs="Times New Roman"/>
          <w:sz w:val="22"/>
          <w:szCs w:val="22"/>
          <w:lang w:val="en-US" w:eastAsia="zh-CN"/>
        </w:rPr>
        <w:t xml:space="preserve"> Company and its subsidiaries </w:t>
      </w:r>
      <w:r>
        <w:rPr>
          <w:rFonts w:hint="eastAsia" w:ascii="Times New Roman" w:hAnsi="Times New Roman" w:cs="Times New Roman"/>
          <w:sz w:val="22"/>
          <w:szCs w:val="22"/>
        </w:rPr>
        <w:t>(</w:t>
      </w:r>
      <w:r>
        <w:rPr>
          <w:rFonts w:hint="default" w:ascii="Times New Roman" w:hAnsi="Times New Roman" w:cs="Times New Roman"/>
          <w:sz w:val="22"/>
          <w:szCs w:val="22"/>
          <w:lang w:val="en-US" w:eastAsia="zh-CN"/>
        </w:rPr>
        <w:t>“</w:t>
      </w:r>
      <w:r>
        <w:rPr>
          <w:rFonts w:hint="eastAsia" w:ascii="Times New Roman" w:hAnsi="Times New Roman" w:cs="Times New Roman"/>
          <w:b w:val="0"/>
          <w:bCs w:val="0"/>
          <w:sz w:val="22"/>
          <w:szCs w:val="22"/>
        </w:rPr>
        <w:t>Group</w:t>
      </w:r>
      <w:r>
        <w:rPr>
          <w:rFonts w:hint="default" w:ascii="Times New Roman" w:hAnsi="Times New Roman" w:cs="Times New Roman"/>
          <w:b w:val="0"/>
          <w:bCs w:val="0"/>
          <w:sz w:val="22"/>
          <w:szCs w:val="22"/>
          <w:lang w:val="en-US" w:eastAsia="zh-CN"/>
        </w:rPr>
        <w:t>”</w:t>
      </w:r>
      <w:r>
        <w:rPr>
          <w:rFonts w:hint="eastAsia" w:ascii="Times New Roman" w:hAnsi="Times New Roman" w:cs="Times New Roman"/>
          <w:sz w:val="22"/>
          <w:szCs w:val="22"/>
        </w:rPr>
        <w:t>)</w:t>
      </w:r>
      <w:r>
        <w:rPr>
          <w:rFonts w:hint="eastAsia" w:ascii="Times New Roman" w:hAnsi="Times New Roman" w:cs="Times New Roman"/>
          <w:sz w:val="22"/>
          <w:szCs w:val="22"/>
          <w:lang w:val="en-US" w:eastAsia="zh-CN"/>
        </w:rPr>
        <w:t>.</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default" w:ascii="Times New Roman" w:hAnsi="Times New Roman" w:cs="Times New Roman"/>
          <w:b/>
          <w:bCs/>
          <w:sz w:val="22"/>
          <w:szCs w:val="22"/>
          <w:lang w:val="en-US" w:eastAsia="zh-CN"/>
        </w:rPr>
        <w:t>Diversity Factors:</w:t>
      </w:r>
      <w:r>
        <w:rPr>
          <w:rFonts w:hint="default" w:ascii="Times New Roman" w:hAnsi="Times New Roman" w:cs="Times New Roman"/>
          <w:sz w:val="22"/>
          <w:szCs w:val="22"/>
          <w:lang w:val="en-US" w:eastAsia="zh-CN"/>
        </w:rPr>
        <w:t xml:space="preserve"> In relation to reviewing and assessing the Board composition, the nomination committee will consider a number of aspects, including but not limited to gender, age, cultural and educational background, professional qualifications, skills, knowledge, and industry and regional experience. </w:t>
      </w:r>
    </w:p>
    <w:p>
      <w:pPr>
        <w:widowControl w:val="0"/>
        <w:numPr>
          <w:ilvl w:val="0"/>
          <w:numId w:val="0"/>
        </w:numPr>
        <w:ind w:leftChars="0"/>
        <w:jc w:val="both"/>
        <w:rPr>
          <w:rFonts w:hint="default" w:ascii="Times New Roman" w:hAnsi="Times New Roman" w:cs="Times New Roman"/>
          <w:sz w:val="22"/>
          <w:szCs w:val="22"/>
          <w:highlight w:val="yellow"/>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highlight w:val="none"/>
          <w:lang w:val="en-US" w:eastAsia="zh-CN"/>
        </w:rPr>
      </w:pPr>
      <w:r>
        <w:rPr>
          <w:rFonts w:hint="eastAsia" w:ascii="Times New Roman" w:hAnsi="Times New Roman" w:cs="Times New Roman"/>
          <w:b/>
          <w:bCs/>
          <w:sz w:val="22"/>
          <w:szCs w:val="22"/>
          <w:highlight w:val="none"/>
          <w:lang w:val="en-US" w:eastAsia="zh-CN"/>
        </w:rPr>
        <w:t>Annual Review</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lang w:val="en-US" w:eastAsia="zh-CN"/>
        </w:rPr>
        <w:t>The</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lang w:val="en-US" w:eastAsia="zh-CN"/>
        </w:rPr>
        <w:t xml:space="preserve">nomination committee will review annually the structure, size and composition </w:t>
      </w:r>
      <w:r>
        <w:rPr>
          <w:rFonts w:hint="default" w:ascii="Times New Roman" w:hAnsi="Times New Roman" w:cs="Times New Roman"/>
          <w:sz w:val="22"/>
          <w:szCs w:val="22"/>
          <w:highlight w:val="none"/>
        </w:rPr>
        <w:t>(including the skills, knowledge and experience)</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lang w:val="en-US" w:eastAsia="zh-CN"/>
        </w:rPr>
        <w:t>of the Board and where appropriate, make</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lang w:val="en-US" w:eastAsia="zh-CN"/>
        </w:rPr>
        <w:t xml:space="preserve">recommendations on changes to the Board to complement the Company’s corporate strategy. </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eastAsia" w:ascii="Times New Roman" w:hAnsi="Times New Roman" w:cs="Times New Roman"/>
          <w:b/>
          <w:bCs/>
          <w:sz w:val="22"/>
          <w:szCs w:val="22"/>
          <w:lang w:val="en-US" w:eastAsia="zh-CN"/>
        </w:rPr>
        <w:t>M</w:t>
      </w:r>
      <w:r>
        <w:rPr>
          <w:rFonts w:hint="default" w:ascii="Times New Roman" w:hAnsi="Times New Roman" w:cs="Times New Roman"/>
          <w:b/>
          <w:bCs/>
          <w:sz w:val="22"/>
          <w:szCs w:val="22"/>
          <w:lang w:val="en-US" w:eastAsia="zh-CN"/>
        </w:rPr>
        <w:t xml:space="preserve">easurable </w:t>
      </w:r>
      <w:r>
        <w:rPr>
          <w:rFonts w:hint="eastAsia" w:ascii="Times New Roman" w:hAnsi="Times New Roman" w:cs="Times New Roman"/>
          <w:b/>
          <w:bCs/>
          <w:sz w:val="22"/>
          <w:szCs w:val="22"/>
          <w:lang w:val="en-US" w:eastAsia="zh-CN"/>
        </w:rPr>
        <w:t>O</w:t>
      </w:r>
      <w:r>
        <w:rPr>
          <w:rFonts w:hint="default" w:ascii="Times New Roman" w:hAnsi="Times New Roman" w:cs="Times New Roman"/>
          <w:b/>
          <w:bCs/>
          <w:sz w:val="22"/>
          <w:szCs w:val="22"/>
          <w:lang w:val="en-US" w:eastAsia="zh-CN"/>
        </w:rPr>
        <w:t>bjectives</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 xml:space="preserve">The nomination committee will discuss, and where necessary, agree on the measurable objectives for achieving diversity on the Board and recommend them to the Board for adoption. </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eastAsia" w:ascii="Times New Roman" w:hAnsi="Times New Roman" w:cs="Times New Roman"/>
          <w:b/>
          <w:bCs/>
          <w:sz w:val="22"/>
          <w:szCs w:val="22"/>
          <w:lang w:val="en-US" w:eastAsia="zh-CN"/>
        </w:rPr>
        <w:t>Update</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The nomination committee will review this Policy as appropriate and recommend revisions, if any, to the Board for consideration and approval.</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default" w:ascii="Times New Roman" w:hAnsi="Times New Roman" w:cs="Times New Roman"/>
          <w:b/>
          <w:bCs/>
          <w:sz w:val="22"/>
          <w:szCs w:val="22"/>
          <w:lang w:val="en-US" w:eastAsia="zh-CN"/>
        </w:rPr>
        <w:t>Language Version</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The text of this policy appears in both English and Chinese languages. In case of discrepancy, the English version shall prevail.</w:t>
      </w:r>
    </w:p>
    <w:p>
      <w:pPr>
        <w:widowControl w:val="0"/>
        <w:numPr>
          <w:ilvl w:val="0"/>
          <w:numId w:val="0"/>
        </w:numPr>
        <w:ind w:leftChars="0"/>
        <w:jc w:val="both"/>
        <w:rPr>
          <w:rFonts w:hint="default" w:ascii="Times New Roman" w:hAnsi="Times New Roman" w:cs="Times New Roman"/>
          <w:sz w:val="22"/>
          <w:szCs w:val="22"/>
          <w:lang w:val="en-US" w:eastAsia="zh-CN"/>
        </w:rPr>
      </w:pPr>
    </w:p>
    <w:p>
      <w:pPr>
        <w:widowControl w:val="0"/>
        <w:numPr>
          <w:ilvl w:val="0"/>
          <w:numId w:val="1"/>
        </w:numPr>
        <w:ind w:left="425" w:leftChars="0" w:hanging="425" w:firstLineChars="0"/>
        <w:jc w:val="both"/>
        <w:rPr>
          <w:rFonts w:hint="default" w:ascii="Times New Roman" w:hAnsi="Times New Roman" w:cs="Times New Roman"/>
          <w:sz w:val="22"/>
          <w:szCs w:val="22"/>
          <w:lang w:val="en-US" w:eastAsia="zh-CN"/>
        </w:rPr>
      </w:pPr>
      <w:r>
        <w:rPr>
          <w:rFonts w:hint="default" w:ascii="Times New Roman" w:hAnsi="Times New Roman" w:cs="Times New Roman"/>
          <w:b/>
          <w:bCs/>
          <w:sz w:val="22"/>
          <w:szCs w:val="22"/>
          <w:lang w:val="en-US" w:eastAsia="zh-CN"/>
        </w:rPr>
        <w:t>Approval of this Policy</w:t>
      </w:r>
      <w:r>
        <w:rPr>
          <w:rFonts w:hint="eastAsia"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 xml:space="preserve"> This policy was </w:t>
      </w:r>
      <w:r>
        <w:rPr>
          <w:rFonts w:hint="eastAsia" w:ascii="Times New Roman" w:hAnsi="Times New Roman" w:cs="Times New Roman"/>
          <w:sz w:val="22"/>
          <w:szCs w:val="22"/>
          <w:lang w:val="en-US" w:eastAsia="zh-CN"/>
        </w:rPr>
        <w:t>last</w:t>
      </w:r>
      <w:r>
        <w:rPr>
          <w:rFonts w:hint="default" w:ascii="Times New Roman" w:hAnsi="Times New Roman" w:cs="Times New Roman"/>
          <w:sz w:val="22"/>
          <w:szCs w:val="22"/>
          <w:lang w:val="en-US" w:eastAsia="zh-CN"/>
        </w:rPr>
        <w:t xml:space="preserve"> </w:t>
      </w:r>
      <w:r>
        <w:rPr>
          <w:rFonts w:hint="eastAsia" w:ascii="Times New Roman" w:hAnsi="Times New Roman" w:cs="Times New Roman"/>
          <w:sz w:val="22"/>
          <w:szCs w:val="22"/>
          <w:lang w:val="en-US" w:eastAsia="zh-CN"/>
        </w:rPr>
        <w:t>amended and approv</w:t>
      </w:r>
      <w:r>
        <w:rPr>
          <w:rFonts w:hint="default" w:ascii="Times New Roman" w:hAnsi="Times New Roman" w:cs="Times New Roman"/>
          <w:sz w:val="22"/>
          <w:szCs w:val="22"/>
          <w:lang w:val="en-US" w:eastAsia="zh-CN"/>
        </w:rPr>
        <w:t>ed by resolutions of the directors passed on 20</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 xml:space="preserve">March 2019. </w:t>
      </w:r>
    </w:p>
    <w:p>
      <w:pPr>
        <w:widowControl w:val="0"/>
        <w:numPr>
          <w:ilvl w:val="0"/>
          <w:numId w:val="0"/>
        </w:numPr>
        <w:jc w:val="both"/>
        <w:rPr>
          <w:rFonts w:hint="default" w:ascii="Times New Roman" w:hAnsi="Times New Roman" w:cs="Times New Roman"/>
          <w:sz w:val="22"/>
          <w:szCs w:val="22"/>
          <w:lang w:val="en-US" w:eastAsia="zh-CN"/>
        </w:rPr>
      </w:pP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rPr>
          <w:rFonts w:hint="eastAsia" w:ascii="Times New Roman" w:hAnsi="Times New Roman" w:cs="Times New Roman"/>
          <w:sz w:val="22"/>
          <w:szCs w:val="22"/>
          <w:highlight w:val="none"/>
        </w:rPr>
      </w:pPr>
      <w:r>
        <w:rPr>
          <w:rFonts w:hint="eastAsia" w:ascii="Times New Roman" w:hAnsi="Times New Roman" w:cs="Times New Roman"/>
          <w:sz w:val="22"/>
          <w:szCs w:val="22"/>
          <w:highlight w:val="none"/>
        </w:rPr>
        <w:br w:type="page"/>
      </w:r>
    </w:p>
    <w:p>
      <w:pPr>
        <w:jc w:val="center"/>
        <w:rPr>
          <w:rFonts w:hint="default"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_____________________________</w:t>
      </w:r>
    </w:p>
    <w:p>
      <w:pPr>
        <w:jc w:val="center"/>
        <w:rPr>
          <w:rFonts w:hint="default" w:ascii="Times New Roman" w:hAnsi="Times New Roman" w:cs="Times New Roman"/>
          <w:b/>
          <w:bCs/>
          <w:sz w:val="24"/>
          <w:szCs w:val="32"/>
          <w:lang w:val="en-US" w:eastAsia="zh-CN"/>
        </w:rPr>
      </w:pPr>
    </w:p>
    <w:p>
      <w:pPr>
        <w:tabs>
          <w:tab w:val="center" w:pos="4153"/>
        </w:tabs>
        <w:jc w:val="center"/>
        <w:rPr>
          <w:rStyle w:val="4"/>
          <w:rFonts w:hint="eastAsia" w:ascii="隶书" w:hAnsi="隶书" w:eastAsia="隶书" w:cs="隶书"/>
          <w:b/>
          <w:bCs/>
          <w:sz w:val="32"/>
          <w:szCs w:val="32"/>
          <w:u w:val="none"/>
          <w:lang w:val="en-US" w:eastAsia="zh-CN"/>
        </w:rPr>
      </w:pPr>
      <w:r>
        <w:rPr>
          <w:rStyle w:val="4"/>
          <w:rFonts w:hint="default" w:ascii="隶书" w:hAnsi="隶书" w:eastAsia="隶书" w:cs="隶书"/>
          <w:b/>
          <w:bCs/>
          <w:sz w:val="32"/>
          <w:szCs w:val="32"/>
          <w:u w:val="none"/>
          <w:lang w:val="en-US" w:eastAsia="zh-CN"/>
        </w:rPr>
        <w:t>三生制药</w:t>
      </w:r>
      <w:r>
        <w:rPr>
          <w:rStyle w:val="4"/>
          <w:rFonts w:hint="eastAsia" w:ascii="隶书" w:hAnsi="隶书" w:eastAsia="隶书" w:cs="隶书"/>
          <w:b/>
          <w:bCs/>
          <w:sz w:val="32"/>
          <w:szCs w:val="32"/>
          <w:u w:val="none"/>
          <w:lang w:val="en-US" w:eastAsia="zh-CN"/>
        </w:rPr>
        <w:t xml:space="preserve"> </w:t>
      </w:r>
    </w:p>
    <w:p>
      <w:pPr>
        <w:jc w:val="center"/>
        <w:rPr>
          <w:rStyle w:val="4"/>
          <w:rFonts w:hint="default" w:ascii="隶书" w:hAnsi="隶书" w:eastAsia="隶书" w:cs="隶书"/>
          <w:b/>
          <w:bCs/>
          <w:sz w:val="32"/>
          <w:szCs w:val="32"/>
          <w:u w:val="none"/>
          <w:lang w:val="en-US" w:eastAsia="zh-CN"/>
        </w:rPr>
      </w:pPr>
      <w:r>
        <w:rPr>
          <w:rStyle w:val="4"/>
          <w:rFonts w:hint="default" w:ascii="隶书" w:hAnsi="隶书" w:eastAsia="隶书" w:cs="隶书"/>
          <w:b/>
          <w:bCs/>
          <w:sz w:val="32"/>
          <w:szCs w:val="32"/>
          <w:u w:val="none"/>
          <w:lang w:val="en-US" w:eastAsia="zh-CN"/>
        </w:rPr>
        <w:t>董事會多元化政策</w:t>
      </w:r>
    </w:p>
    <w:p>
      <w:pPr>
        <w:jc w:val="center"/>
        <w:rPr>
          <w:rFonts w:hint="default" w:ascii="Times New Roman" w:hAnsi="Times New Roman" w:cs="Times New Roman" w:eastAsiaTheme="minorEastAsia"/>
          <w:b/>
          <w:bCs/>
          <w:sz w:val="24"/>
          <w:szCs w:val="32"/>
          <w:lang w:val="en-US" w:eastAsia="zh-CN"/>
        </w:rPr>
      </w:pPr>
      <w:r>
        <w:rPr>
          <w:rFonts w:hint="eastAsia" w:ascii="Times New Roman" w:hAnsi="Times New Roman" w:cs="Times New Roman"/>
          <w:b/>
          <w:bCs/>
          <w:sz w:val="24"/>
          <w:szCs w:val="32"/>
          <w:lang w:val="en-US" w:eastAsia="zh-CN"/>
        </w:rPr>
        <w:t>______________________________</w:t>
      </w:r>
    </w:p>
    <w:p>
      <w:pPr>
        <w:numPr>
          <w:ilvl w:val="0"/>
          <w:numId w:val="0"/>
        </w:numPr>
        <w:jc w:val="left"/>
        <w:rPr>
          <w:rFonts w:hint="default" w:ascii="Times New Roman" w:hAnsi="Times New Roman" w:cs="Times New Roman"/>
          <w:b w:val="0"/>
          <w:bCs w:val="0"/>
          <w:sz w:val="24"/>
          <w:szCs w:val="24"/>
        </w:rPr>
      </w:pPr>
    </w:p>
    <w:p>
      <w:pPr>
        <w:widowControl w:val="0"/>
        <w:numPr>
          <w:ilvl w:val="-1"/>
          <w:numId w:val="0"/>
        </w:numPr>
        <w:ind w:left="420" w:leftChars="0" w:firstLine="0" w:firstLineChars="0"/>
        <w:jc w:val="both"/>
        <w:rPr>
          <w:rFonts w:hint="eastAsia" w:ascii="Times New Roman" w:hAnsi="Times New Roman" w:cs="Times New Roman"/>
          <w:sz w:val="22"/>
          <w:szCs w:val="22"/>
          <w:highlight w:val="yellow"/>
        </w:rPr>
      </w:pP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eastAsia" w:ascii="隶书" w:hAnsi="隶书" w:eastAsia="隶书" w:cs="隶书"/>
          <w:b w:val="0"/>
          <w:bCs w:val="0"/>
          <w:sz w:val="28"/>
          <w:szCs w:val="28"/>
          <w:highlight w:val="none"/>
          <w:lang w:val="en-US" w:eastAsia="zh-CN"/>
        </w:rPr>
        <w:t>愿景</w:t>
      </w:r>
      <w:r>
        <w:rPr>
          <w:rFonts w:hint="eastAsia" w:ascii="Times New Roman" w:hAnsi="Times New Roman" w:cs="Times New Roman"/>
          <w:b w:val="0"/>
          <w:bCs w:val="0"/>
          <w:sz w:val="22"/>
          <w:szCs w:val="22"/>
          <w:highlight w:val="none"/>
          <w:lang w:val="en-US" w:eastAsia="zh-CN"/>
        </w:rPr>
        <w:t>：</w:t>
      </w:r>
      <w:r>
        <w:rPr>
          <w:rFonts w:hint="eastAsia" w:ascii="Times New Roman" w:hAnsi="Times New Roman" w:cs="Times New Roman"/>
          <w:sz w:val="22"/>
          <w:szCs w:val="22"/>
          <w:highlight w:val="none"/>
        </w:rPr>
        <w:t>本公司</w:t>
      </w:r>
      <w:r>
        <w:rPr>
          <w:rFonts w:hint="eastAsia" w:ascii="Times New Roman" w:hAnsi="Times New Roman" w:cs="Times New Roman"/>
          <w:sz w:val="22"/>
          <w:szCs w:val="22"/>
          <w:highlight w:val="none"/>
          <w:lang w:val="en-US" w:eastAsia="zh-CN"/>
        </w:rPr>
        <w:t>确认</w:t>
      </w:r>
      <w:r>
        <w:rPr>
          <w:rFonts w:hint="eastAsia" w:ascii="Times New Roman" w:hAnsi="Times New Roman" w:cs="Times New Roman"/>
          <w:sz w:val="22"/>
          <w:szCs w:val="22"/>
          <w:highlight w:val="none"/>
        </w:rPr>
        <w:t>董事會成員多元化對提升公司的表現裨益良多。</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eastAsia" w:ascii="隶书" w:hAnsi="隶书" w:eastAsia="隶书" w:cs="隶书"/>
          <w:b w:val="0"/>
          <w:bCs w:val="0"/>
          <w:sz w:val="28"/>
          <w:szCs w:val="28"/>
          <w:highlight w:val="none"/>
          <w:lang w:val="en-US" w:eastAsia="zh-CN"/>
        </w:rPr>
        <w:t>董事會成員多元化</w:t>
      </w:r>
      <w:r>
        <w:rPr>
          <w:rFonts w:hint="eastAsia" w:ascii="隶书" w:hAnsi="隶书" w:eastAsia="隶书" w:cs="隶书"/>
          <w:b w:val="0"/>
          <w:bCs w:val="0"/>
          <w:sz w:val="32"/>
          <w:szCs w:val="32"/>
          <w:highlight w:val="none"/>
          <w:lang w:val="en-US" w:eastAsia="zh-CN"/>
        </w:rPr>
        <w:t>:</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本公司</w:t>
      </w:r>
      <w:r>
        <w:rPr>
          <w:rFonts w:hint="eastAsia" w:ascii="Times New Roman" w:hAnsi="Times New Roman" w:cs="Times New Roman"/>
          <w:sz w:val="22"/>
          <w:szCs w:val="22"/>
          <w:lang w:val="en-US" w:eastAsia="zh-CN"/>
        </w:rPr>
        <w:t>努力寻求</w:t>
      </w:r>
      <w:r>
        <w:rPr>
          <w:rFonts w:hint="default" w:ascii="Times New Roman" w:hAnsi="Times New Roman" w:cs="Times New Roman"/>
          <w:sz w:val="22"/>
          <w:szCs w:val="22"/>
          <w:lang w:val="en-US" w:eastAsia="zh-CN"/>
        </w:rPr>
        <w:t>董事會多元化觀點的適當平衡</w:t>
      </w:r>
      <w:r>
        <w:rPr>
          <w:rFonts w:hint="eastAsia" w:ascii="Times New Roman" w:hAnsi="Times New Roman" w:cs="Times New Roman"/>
          <w:sz w:val="22"/>
          <w:szCs w:val="22"/>
        </w:rPr>
        <w:t>，以提供</w:t>
      </w:r>
      <w:r>
        <w:rPr>
          <w:rFonts w:hint="eastAsia" w:ascii="Times New Roman" w:hAnsi="Times New Roman" w:cs="Times New Roman"/>
          <w:sz w:val="22"/>
          <w:szCs w:val="22"/>
          <w:lang w:val="en-US" w:eastAsia="zh-CN"/>
        </w:rPr>
        <w:t>洞见卓识</w:t>
      </w:r>
      <w:r>
        <w:rPr>
          <w:rFonts w:hint="eastAsia" w:ascii="Times New Roman" w:hAnsi="Times New Roman" w:cs="Times New Roman"/>
          <w:sz w:val="22"/>
          <w:szCs w:val="22"/>
        </w:rPr>
        <w:t>，</w:t>
      </w:r>
      <w:r>
        <w:rPr>
          <w:rFonts w:hint="eastAsia" w:ascii="Times New Roman" w:hAnsi="Times New Roman" w:cs="Times New Roman"/>
          <w:sz w:val="22"/>
          <w:szCs w:val="22"/>
          <w:lang w:val="en-US" w:eastAsia="zh-CN"/>
        </w:rPr>
        <w:t>使</w:t>
      </w:r>
      <w:r>
        <w:rPr>
          <w:rFonts w:hint="eastAsia" w:ascii="Times New Roman" w:hAnsi="Times New Roman" w:cs="Times New Roman"/>
          <w:sz w:val="22"/>
          <w:szCs w:val="22"/>
        </w:rPr>
        <w:t>董事會有效地履行其職</w:t>
      </w:r>
      <w:r>
        <w:rPr>
          <w:rFonts w:hint="eastAsia" w:ascii="Times New Roman" w:hAnsi="Times New Roman" w:cs="Times New Roman"/>
          <w:sz w:val="22"/>
          <w:szCs w:val="22"/>
          <w:lang w:val="en-US" w:eastAsia="zh-CN"/>
        </w:rPr>
        <w:t>责</w:t>
      </w:r>
      <w:r>
        <w:rPr>
          <w:rFonts w:hint="eastAsia" w:ascii="Times New Roman" w:hAnsi="Times New Roman" w:cs="Times New Roman"/>
          <w:sz w:val="22"/>
          <w:szCs w:val="22"/>
        </w:rPr>
        <w:t>、就本公司及其附屬公司（「本集團」）的核心業務及策略制定良策</w:t>
      </w:r>
      <w:r>
        <w:rPr>
          <w:rFonts w:hint="eastAsia" w:ascii="Times New Roman" w:hAnsi="Times New Roman" w:cs="Times New Roman"/>
          <w:sz w:val="22"/>
          <w:szCs w:val="22"/>
          <w:lang w:eastAsia="zh-CN"/>
        </w:rPr>
        <w:t>。</w:t>
      </w:r>
    </w:p>
    <w:p>
      <w:pPr>
        <w:widowControl w:val="0"/>
        <w:numPr>
          <w:ilvl w:val="0"/>
          <w:numId w:val="2"/>
        </w:numPr>
        <w:ind w:left="0" w:leftChars="0" w:firstLine="420" w:firstLineChars="0"/>
        <w:jc w:val="both"/>
        <w:rPr>
          <w:rFonts w:hint="default" w:ascii="Times New Roman" w:hAnsi="Times New Roman" w:cs="Times New Roman"/>
          <w:sz w:val="22"/>
          <w:szCs w:val="22"/>
          <w:highlight w:val="none"/>
          <w:lang w:val="en-US" w:eastAsia="zh-CN"/>
        </w:rPr>
      </w:pPr>
      <w:r>
        <w:rPr>
          <w:rFonts w:hint="eastAsia" w:ascii="隶书" w:hAnsi="隶书" w:eastAsia="隶书" w:cs="隶书"/>
          <w:b w:val="0"/>
          <w:bCs w:val="0"/>
          <w:sz w:val="28"/>
          <w:szCs w:val="28"/>
          <w:highlight w:val="none"/>
          <w:lang w:val="en-US" w:eastAsia="zh-CN"/>
        </w:rPr>
        <w:t>多元化之诸方面:</w:t>
      </w:r>
      <w:r>
        <w:rPr>
          <w:rFonts w:hint="eastAsia" w:ascii="Times New Roman" w:hAnsi="Times New Roman" w:cs="Times New Roman"/>
          <w:sz w:val="22"/>
          <w:szCs w:val="22"/>
          <w:lang w:eastAsia="zh-CN"/>
        </w:rPr>
        <w:t xml:space="preserve"> 就檢討及評估董事會成員組成而言，提名委員會將考慮多個方面，包括但不限於性別、年齡、文化及教育背景、專業資格、技能、知識及行業和地區經驗。</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eastAsia" w:ascii="隶书" w:hAnsi="隶书" w:eastAsia="隶书" w:cs="隶书"/>
          <w:b w:val="0"/>
          <w:bCs w:val="0"/>
          <w:sz w:val="28"/>
          <w:szCs w:val="28"/>
          <w:highlight w:val="none"/>
          <w:lang w:val="en-US" w:eastAsia="zh-CN"/>
        </w:rPr>
        <w:t>年度檢討:</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lang w:eastAsia="zh-CN"/>
        </w:rPr>
        <w:t>如董事會成員多元化政策所訂明，提名委員會將董事會之架構、規模及成員組成</w:t>
      </w:r>
      <w:r>
        <w:rPr>
          <w:rFonts w:hint="eastAsia" w:ascii="Times New Roman" w:hAnsi="Times New Roman" w:cs="Times New Roman"/>
          <w:sz w:val="22"/>
          <w:szCs w:val="22"/>
          <w:highlight w:val="none"/>
          <w:lang w:val="en-US" w:eastAsia="zh-CN"/>
        </w:rPr>
        <w:t xml:space="preserve"> (</w:t>
      </w:r>
      <w:r>
        <w:rPr>
          <w:rFonts w:hint="default" w:ascii="Times New Roman" w:hAnsi="Times New Roman" w:cs="Times New Roman"/>
          <w:sz w:val="22"/>
          <w:szCs w:val="22"/>
          <w:highlight w:val="none"/>
        </w:rPr>
        <w:t>包括技能、知识和经验</w:t>
      </w:r>
      <w:r>
        <w:rPr>
          <w:rFonts w:hint="eastAsia" w:ascii="Times New Roman" w:hAnsi="Times New Roman" w:cs="Times New Roman"/>
          <w:sz w:val="22"/>
          <w:szCs w:val="22"/>
          <w:highlight w:val="none"/>
          <w:lang w:val="en-US" w:eastAsia="zh-CN"/>
        </w:rPr>
        <w:t>)</w:t>
      </w:r>
      <w:r>
        <w:rPr>
          <w:rFonts w:hint="default" w:ascii="Times New Roman" w:hAnsi="Times New Roman" w:cs="Times New Roman"/>
          <w:sz w:val="22"/>
          <w:szCs w:val="22"/>
          <w:highlight w:val="none"/>
          <w:lang w:eastAsia="zh-CN"/>
        </w:rPr>
        <w:t>，並於適當時候向董事會提供有關變動之推薦建議，以配合本公司之公司策略。</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default" w:ascii="隶书" w:hAnsi="隶书" w:eastAsia="隶书" w:cs="隶书"/>
          <w:b w:val="0"/>
          <w:bCs w:val="0"/>
          <w:sz w:val="28"/>
          <w:szCs w:val="28"/>
          <w:highlight w:val="none"/>
          <w:lang w:val="en-US" w:eastAsia="zh-CN"/>
        </w:rPr>
        <w:t>可計量目標</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rPr>
        <w:t>提名委員會將進行討論及於必要時協定就實行董事會成員多元化政策而制定之可計量目標，並向董事會建議有關目標以供採納。</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eastAsia" w:ascii="隶书" w:hAnsi="隶书" w:eastAsia="隶书" w:cs="隶书"/>
          <w:b w:val="0"/>
          <w:bCs w:val="0"/>
          <w:sz w:val="28"/>
          <w:szCs w:val="28"/>
          <w:highlight w:val="none"/>
          <w:lang w:val="en-US" w:eastAsia="zh-CN"/>
        </w:rPr>
        <w:t>審查</w:t>
      </w:r>
      <w:r>
        <w:rPr>
          <w:rFonts w:hint="default" w:ascii="隶书" w:hAnsi="隶书" w:eastAsia="隶书" w:cs="隶书"/>
          <w:b w:val="0"/>
          <w:bCs w:val="0"/>
          <w:sz w:val="28"/>
          <w:szCs w:val="28"/>
          <w:highlight w:val="none"/>
          <w:lang w:val="en-US" w:eastAsia="zh-CN"/>
        </w:rPr>
        <w:t>修訂</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rPr>
        <w:t>提名委員會將於適當時候審</w:t>
      </w:r>
      <w:r>
        <w:rPr>
          <w:rFonts w:hint="eastAsia" w:ascii="Times New Roman" w:hAnsi="Times New Roman" w:cs="Times New Roman"/>
          <w:sz w:val="22"/>
          <w:szCs w:val="22"/>
          <w:lang w:val="en-US" w:eastAsia="zh-CN"/>
        </w:rPr>
        <w:t>查</w:t>
      </w:r>
      <w:r>
        <w:rPr>
          <w:rFonts w:hint="default" w:ascii="Times New Roman" w:hAnsi="Times New Roman" w:cs="Times New Roman"/>
          <w:sz w:val="22"/>
          <w:szCs w:val="22"/>
        </w:rPr>
        <w:t>此項政策，並向董事會作出修訂建議（如有）供其審批</w:t>
      </w:r>
      <w:r>
        <w:rPr>
          <w:rFonts w:hint="eastAsia" w:ascii="Times New Roman" w:hAnsi="Times New Roman" w:cs="Times New Roman"/>
          <w:sz w:val="22"/>
          <w:szCs w:val="22"/>
          <w:lang w:eastAsia="zh-CN"/>
        </w:rPr>
        <w:t>。</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default" w:ascii="隶书" w:hAnsi="隶书" w:eastAsia="隶书" w:cs="隶书"/>
          <w:b w:val="0"/>
          <w:bCs w:val="0"/>
          <w:sz w:val="28"/>
          <w:szCs w:val="28"/>
          <w:highlight w:val="none"/>
          <w:lang w:val="en-US" w:eastAsia="zh-CN"/>
        </w:rPr>
        <w:t>語言版本</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lang w:val="en-US" w:eastAsia="zh-CN"/>
        </w:rPr>
        <w:t>本政策文本分為中英文版本。若兩者出現差異，概以英文版本為準。</w:t>
      </w:r>
    </w:p>
    <w:p>
      <w:pPr>
        <w:widowControl w:val="0"/>
        <w:numPr>
          <w:ilvl w:val="0"/>
          <w:numId w:val="2"/>
        </w:numPr>
        <w:ind w:left="0" w:leftChars="0" w:firstLine="420" w:firstLineChars="0"/>
        <w:jc w:val="both"/>
        <w:rPr>
          <w:rFonts w:hint="default" w:ascii="Times New Roman" w:hAnsi="Times New Roman" w:cs="Times New Roman"/>
          <w:sz w:val="22"/>
          <w:szCs w:val="22"/>
          <w:lang w:val="en-US" w:eastAsia="zh-CN"/>
        </w:rPr>
      </w:pPr>
      <w:r>
        <w:rPr>
          <w:rFonts w:hint="default" w:ascii="隶书" w:hAnsi="隶书" w:eastAsia="隶书" w:cs="隶书"/>
          <w:b w:val="0"/>
          <w:bCs w:val="0"/>
          <w:sz w:val="28"/>
          <w:szCs w:val="28"/>
          <w:highlight w:val="none"/>
          <w:lang w:val="en-US" w:eastAsia="zh-CN"/>
        </w:rPr>
        <w:t>本政策之批准</w:t>
      </w:r>
      <w:r>
        <w:rPr>
          <w:rFonts w:hint="eastAsia" w:ascii="隶书" w:hAnsi="隶书" w:eastAsia="隶书" w:cs="隶书"/>
          <w:b w:val="0"/>
          <w:bCs w:val="0"/>
          <w:sz w:val="28"/>
          <w:szCs w:val="28"/>
          <w:highlight w:val="none"/>
          <w:lang w:val="en-US" w:eastAsia="zh-CN"/>
        </w:rPr>
        <w:t>:</w:t>
      </w:r>
      <w:r>
        <w:rPr>
          <w:rFonts w:hint="default" w:ascii="Times New Roman" w:hAnsi="Times New Roman" w:cs="Times New Roman"/>
          <w:sz w:val="22"/>
          <w:szCs w:val="22"/>
          <w:lang w:val="en-US" w:eastAsia="zh-CN"/>
        </w:rPr>
        <w:t xml:space="preserve"> 本政策於2019年3月20日的董事會決議</w:t>
      </w:r>
      <w:r>
        <w:rPr>
          <w:rFonts w:hint="eastAsia" w:ascii="Times New Roman" w:hAnsi="Times New Roman" w:cs="Times New Roman"/>
          <w:sz w:val="22"/>
          <w:szCs w:val="22"/>
          <w:lang w:val="en-US" w:eastAsia="zh-CN"/>
        </w:rPr>
        <w:t>修订</w:t>
      </w:r>
      <w:r>
        <w:rPr>
          <w:rFonts w:hint="default" w:ascii="Times New Roman" w:hAnsi="Times New Roman" w:cs="Times New Roman"/>
          <w:sz w:val="22"/>
          <w:szCs w:val="22"/>
          <w:lang w:val="en-US" w:eastAsia="zh-CN"/>
        </w:rPr>
        <w:t>通過予以採納。</w:t>
      </w:r>
    </w:p>
    <w:p>
      <w:pPr>
        <w:widowControl w:val="0"/>
        <w:numPr>
          <w:ilvl w:val="0"/>
          <w:numId w:val="0"/>
        </w:numPr>
        <w:jc w:val="both"/>
        <w:rPr>
          <w:rFonts w:hint="default" w:ascii="Times New Roman" w:hAnsi="Times New Roman" w:cs="Times New Roman"/>
          <w:sz w:val="22"/>
          <w:szCs w:val="2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Univers-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06428"/>
    <w:multiLevelType w:val="singleLevel"/>
    <w:tmpl w:val="9A206428"/>
    <w:lvl w:ilvl="0" w:tentative="0">
      <w:start w:val="1"/>
      <w:numFmt w:val="decimal"/>
      <w:lvlText w:val="%1."/>
      <w:lvlJc w:val="left"/>
      <w:pPr>
        <w:ind w:left="425" w:hanging="425"/>
      </w:pPr>
      <w:rPr>
        <w:rFonts w:hint="default"/>
      </w:rPr>
    </w:lvl>
  </w:abstractNum>
  <w:abstractNum w:abstractNumId="1">
    <w:nsid w:val="A80D8EC0"/>
    <w:multiLevelType w:val="singleLevel"/>
    <w:tmpl w:val="A80D8EC0"/>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428E"/>
    <w:rsid w:val="0FF63D31"/>
    <w:rsid w:val="122C1692"/>
    <w:rsid w:val="1230696C"/>
    <w:rsid w:val="159B3783"/>
    <w:rsid w:val="17E0000B"/>
    <w:rsid w:val="18A83E59"/>
    <w:rsid w:val="1CFD5F86"/>
    <w:rsid w:val="1FCC60EC"/>
    <w:rsid w:val="1FEF4B97"/>
    <w:rsid w:val="208E3A72"/>
    <w:rsid w:val="257C24EF"/>
    <w:rsid w:val="25AF28A1"/>
    <w:rsid w:val="28852125"/>
    <w:rsid w:val="2A251AF3"/>
    <w:rsid w:val="2AC95E5B"/>
    <w:rsid w:val="2CFE7AB6"/>
    <w:rsid w:val="2F596160"/>
    <w:rsid w:val="31AE3D82"/>
    <w:rsid w:val="326D0318"/>
    <w:rsid w:val="37FD34C6"/>
    <w:rsid w:val="3CA02E72"/>
    <w:rsid w:val="3F1A0A38"/>
    <w:rsid w:val="42AF7731"/>
    <w:rsid w:val="43DD14F9"/>
    <w:rsid w:val="46F869AB"/>
    <w:rsid w:val="493D4FFE"/>
    <w:rsid w:val="4FD7797E"/>
    <w:rsid w:val="58F04A4C"/>
    <w:rsid w:val="5B2218B0"/>
    <w:rsid w:val="63432879"/>
    <w:rsid w:val="69FE2B01"/>
    <w:rsid w:val="70CF0DF4"/>
    <w:rsid w:val="71767283"/>
    <w:rsid w:val="72870A64"/>
    <w:rsid w:val="787C359C"/>
    <w:rsid w:val="793C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style21"/>
    <w:basedOn w:val="3"/>
    <w:qFormat/>
    <w:uiPriority w:val="0"/>
    <w:rPr>
      <w:rFonts w:hint="default" w:ascii="Arial" w:hAnsi="Arial" w:cs="Arial"/>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2019-03-10T14:38:00Z</dcterms:created>
  <dc:creator>Bo LI</dc:creator>
  <cp:lastModifiedBy>Bo LI</cp:lastModifiedBy>
  <dcterms:modified xsi:type="dcterms:W3CDTF">2019-03-11T12:24:57Z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