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3F" w:rsidRDefault="00056EC9">
      <w:pPr>
        <w:adjustRightInd w:val="0"/>
        <w:snapToGrid w:val="0"/>
        <w:spacing w:after="240" w:line="276" w:lineRule="auto"/>
        <w:jc w:val="left"/>
        <w:rPr>
          <w:rFonts w:ascii="微软雅黑" w:eastAsia="微软雅黑" w:hAnsi="微软雅黑" w:cs="Arial"/>
          <w:b/>
          <w:kern w:val="32"/>
          <w:sz w:val="24"/>
        </w:rPr>
      </w:pPr>
      <w:r>
        <w:rPr>
          <w:rFonts w:ascii="微软雅黑" w:eastAsia="微软雅黑" w:hAnsi="微软雅黑" w:cs="Arial" w:hint="eastAsia"/>
          <w:b/>
          <w:kern w:val="32"/>
          <w:sz w:val="24"/>
        </w:rPr>
        <w:t>新闻稿（供即时发布）</w:t>
      </w:r>
    </w:p>
    <w:p w:rsidR="001A203F" w:rsidRDefault="002443AF">
      <w:pPr>
        <w:adjustRightInd w:val="0"/>
        <w:snapToGrid w:val="0"/>
        <w:spacing w:after="240" w:line="276" w:lineRule="auto"/>
        <w:jc w:val="center"/>
        <w:rPr>
          <w:rFonts w:ascii="微软雅黑" w:eastAsia="微软雅黑" w:hAnsi="微软雅黑" w:cs="Arial"/>
          <w:b/>
          <w:kern w:val="32"/>
          <w:sz w:val="32"/>
        </w:rPr>
      </w:pPr>
      <w:r>
        <w:rPr>
          <w:rFonts w:ascii="微软雅黑" w:eastAsia="微软雅黑" w:hAnsi="微软雅黑" w:cs="Arial" w:hint="eastAsia"/>
          <w:b/>
          <w:kern w:val="32"/>
          <w:sz w:val="32"/>
        </w:rPr>
        <w:t>一周一次降糖新药</w:t>
      </w:r>
      <w:proofErr w:type="gramStart"/>
      <w:r>
        <w:rPr>
          <w:rFonts w:ascii="微软雅黑" w:eastAsia="微软雅黑" w:hAnsi="微软雅黑" w:cs="Arial" w:hint="eastAsia"/>
          <w:b/>
          <w:kern w:val="32"/>
          <w:sz w:val="32"/>
        </w:rPr>
        <w:t>百达扬</w:t>
      </w:r>
      <w:proofErr w:type="gramEnd"/>
      <w:r>
        <w:rPr>
          <w:rFonts w:ascii="微软雅黑" w:eastAsia="微软雅黑" w:hAnsi="微软雅黑" w:cs="Arial" w:hint="eastAsia"/>
          <w:b/>
          <w:kern w:val="32"/>
          <w:sz w:val="32"/>
          <w:vertAlign w:val="superscript"/>
        </w:rPr>
        <w:sym w:font="Symbol" w:char="F0D2"/>
      </w:r>
      <w:r>
        <w:rPr>
          <w:rFonts w:ascii="微软雅黑" w:eastAsia="微软雅黑" w:hAnsi="微软雅黑" w:cs="Arial" w:hint="eastAsia"/>
          <w:b/>
          <w:kern w:val="32"/>
          <w:sz w:val="32"/>
        </w:rPr>
        <w:t>获CFDA批准</w:t>
      </w:r>
      <w:r w:rsidR="00056EC9">
        <w:rPr>
          <w:rFonts w:ascii="微软雅黑" w:eastAsia="微软雅黑" w:hAnsi="微软雅黑" w:cs="Arial" w:hint="eastAsia"/>
          <w:b/>
          <w:kern w:val="32"/>
          <w:sz w:val="32"/>
        </w:rPr>
        <w:t>：</w:t>
      </w:r>
    </w:p>
    <w:p w:rsidR="001A203F" w:rsidRDefault="002443AF">
      <w:pPr>
        <w:adjustRightInd w:val="0"/>
        <w:snapToGrid w:val="0"/>
        <w:spacing w:after="240" w:line="276" w:lineRule="auto"/>
        <w:jc w:val="center"/>
        <w:rPr>
          <w:rFonts w:asciiTheme="minorHAnsi" w:eastAsia="微软雅黑" w:hAnsiTheme="minorHAnsi"/>
          <w:b/>
          <w:sz w:val="28"/>
          <w:szCs w:val="30"/>
        </w:rPr>
      </w:pPr>
      <w:r>
        <w:rPr>
          <w:rFonts w:ascii="微软雅黑" w:eastAsia="微软雅黑" w:hAnsi="微软雅黑" w:cs="Arial" w:hint="eastAsia"/>
          <w:b/>
          <w:kern w:val="32"/>
          <w:sz w:val="32"/>
        </w:rPr>
        <w:t>是</w:t>
      </w:r>
      <w:r w:rsidR="00056EC9">
        <w:rPr>
          <w:rFonts w:ascii="微软雅黑" w:eastAsia="微软雅黑" w:hAnsi="微软雅黑" w:cs="Arial" w:hint="eastAsia"/>
          <w:b/>
          <w:kern w:val="32"/>
          <w:sz w:val="32"/>
        </w:rPr>
        <w:t>中国首个</w:t>
      </w:r>
      <w:r>
        <w:rPr>
          <w:rFonts w:ascii="微软雅黑" w:eastAsia="微软雅黑" w:hAnsi="微软雅黑" w:cs="Arial" w:hint="eastAsia"/>
          <w:b/>
          <w:kern w:val="32"/>
          <w:sz w:val="32"/>
        </w:rPr>
        <w:t>、且唯一获批的</w:t>
      </w:r>
      <w:r w:rsidRPr="002443AF">
        <w:rPr>
          <w:rFonts w:ascii="微软雅黑" w:eastAsia="微软雅黑" w:hAnsi="微软雅黑" w:cs="Arial"/>
          <w:b/>
          <w:kern w:val="32"/>
          <w:sz w:val="32"/>
        </w:rPr>
        <w:t>GLP-1受体</w:t>
      </w:r>
      <w:proofErr w:type="gramStart"/>
      <w:r w:rsidRPr="002443AF">
        <w:rPr>
          <w:rFonts w:ascii="微软雅黑" w:eastAsia="微软雅黑" w:hAnsi="微软雅黑" w:cs="Arial"/>
          <w:b/>
          <w:kern w:val="32"/>
          <w:sz w:val="32"/>
        </w:rPr>
        <w:t>激动剂周制剂</w:t>
      </w:r>
      <w:proofErr w:type="gramEnd"/>
    </w:p>
    <w:p w:rsidR="001A203F" w:rsidRDefault="001A203F">
      <w:pPr>
        <w:ind w:firstLineChars="200" w:firstLine="420"/>
        <w:rPr>
          <w:rFonts w:asciiTheme="minorHAnsi" w:eastAsia="微软雅黑" w:hAnsiTheme="minorHAnsi"/>
        </w:rPr>
      </w:pPr>
    </w:p>
    <w:p w:rsidR="001A203F" w:rsidRPr="00016803" w:rsidRDefault="00056EC9">
      <w:pPr>
        <w:ind w:firstLineChars="200" w:firstLine="420"/>
        <w:rPr>
          <w:rFonts w:asciiTheme="minorHAnsi" w:eastAsia="微软雅黑" w:hAnsiTheme="minorHAnsi"/>
        </w:rPr>
      </w:pPr>
      <w:bookmarkStart w:id="0" w:name="OLE_LINK5"/>
      <w:bookmarkStart w:id="1" w:name="OLE_LINK6"/>
      <w:bookmarkStart w:id="2" w:name="OLE_LINK7"/>
      <w:r>
        <w:rPr>
          <w:rFonts w:asciiTheme="minorHAnsi" w:eastAsia="微软雅黑" w:hAnsiTheme="minorHAnsi"/>
        </w:rPr>
        <w:t>（</w:t>
      </w:r>
      <w:r>
        <w:rPr>
          <w:rFonts w:asciiTheme="minorHAnsi" w:eastAsia="微软雅黑" w:hAnsiTheme="minorHAnsi"/>
        </w:rPr>
        <w:t>2018</w:t>
      </w:r>
      <w:r>
        <w:rPr>
          <w:rFonts w:asciiTheme="minorHAnsi" w:eastAsia="微软雅黑" w:hAnsiTheme="minorHAnsi"/>
        </w:rPr>
        <w:t>年</w:t>
      </w:r>
      <w:r>
        <w:rPr>
          <w:rFonts w:asciiTheme="minorHAnsi" w:eastAsia="微软雅黑" w:hAnsiTheme="minorHAnsi"/>
        </w:rPr>
        <w:t>1</w:t>
      </w:r>
      <w:r>
        <w:rPr>
          <w:rFonts w:asciiTheme="minorHAnsi" w:eastAsia="微软雅黑" w:hAnsiTheme="minorHAnsi"/>
        </w:rPr>
        <w:t>月</w:t>
      </w:r>
      <w:r w:rsidR="00390BDB">
        <w:rPr>
          <w:rFonts w:asciiTheme="minorHAnsi" w:eastAsia="微软雅黑" w:hAnsiTheme="minorHAnsi" w:hint="eastAsia"/>
        </w:rPr>
        <w:t>3</w:t>
      </w:r>
      <w:r>
        <w:rPr>
          <w:rFonts w:asciiTheme="minorHAnsi" w:eastAsia="微软雅黑" w:hAnsiTheme="minorHAnsi"/>
        </w:rPr>
        <w:t>日，上海）</w:t>
      </w:r>
      <w:r>
        <w:rPr>
          <w:rFonts w:asciiTheme="minorHAnsi" w:eastAsia="微软雅黑" w:hAnsiTheme="minorHAnsi" w:hint="eastAsia"/>
        </w:rPr>
        <w:t>三生制药（</w:t>
      </w:r>
      <w:r>
        <w:rPr>
          <w:rFonts w:asciiTheme="minorHAnsi" w:eastAsia="微软雅黑" w:hAnsiTheme="minorHAnsi"/>
        </w:rPr>
        <w:t>01530.HK</w:t>
      </w:r>
      <w:r>
        <w:rPr>
          <w:rFonts w:asciiTheme="minorHAnsi" w:eastAsia="微软雅黑" w:hAnsiTheme="minorHAnsi" w:hint="eastAsia"/>
        </w:rPr>
        <w:t>）</w:t>
      </w:r>
      <w:r>
        <w:rPr>
          <w:rFonts w:asciiTheme="minorHAnsi" w:eastAsia="微软雅黑" w:hAnsiTheme="minorHAnsi"/>
        </w:rPr>
        <w:t>今天宣布，中国首个胰高血糖素样肽</w:t>
      </w:r>
      <w:r>
        <w:rPr>
          <w:rFonts w:asciiTheme="minorHAnsi" w:eastAsia="微软雅黑" w:hAnsiTheme="minorHAnsi"/>
        </w:rPr>
        <w:t>-1</w:t>
      </w:r>
      <w:r>
        <w:rPr>
          <w:rFonts w:asciiTheme="minorHAnsi" w:eastAsia="微软雅黑" w:hAnsiTheme="minorHAnsi"/>
        </w:rPr>
        <w:t>（</w:t>
      </w:r>
      <w:r>
        <w:rPr>
          <w:rFonts w:asciiTheme="minorHAnsi" w:eastAsia="微软雅黑" w:hAnsiTheme="minorHAnsi"/>
        </w:rPr>
        <w:t>GLP-1</w:t>
      </w:r>
      <w:r>
        <w:rPr>
          <w:rFonts w:asciiTheme="minorHAnsi" w:eastAsia="微软雅黑" w:hAnsiTheme="minorHAnsi"/>
        </w:rPr>
        <w:t>）受体</w:t>
      </w:r>
      <w:proofErr w:type="gramStart"/>
      <w:r>
        <w:rPr>
          <w:rFonts w:asciiTheme="minorHAnsi" w:eastAsia="微软雅黑" w:hAnsiTheme="minorHAnsi"/>
        </w:rPr>
        <w:t>激动剂周制剂</w:t>
      </w:r>
      <w:proofErr w:type="gramEnd"/>
      <w:r>
        <w:rPr>
          <w:rFonts w:asciiTheme="minorHAnsi" w:eastAsia="微软雅黑" w:hAnsiTheme="minorHAnsi"/>
        </w:rPr>
        <w:t>百达扬</w:t>
      </w:r>
      <w:bookmarkStart w:id="3" w:name="OLE_LINK1"/>
      <w:bookmarkStart w:id="4" w:name="OLE_LINK2"/>
      <w:r>
        <w:rPr>
          <w:rFonts w:asciiTheme="minorHAnsi" w:eastAsia="微软雅黑" w:hAnsiTheme="minorHAnsi"/>
        </w:rPr>
        <w:t>®</w:t>
      </w:r>
      <w:bookmarkEnd w:id="3"/>
      <w:bookmarkEnd w:id="4"/>
      <w:r>
        <w:rPr>
          <w:rFonts w:asciiTheme="minorHAnsi" w:eastAsia="微软雅黑" w:hAnsiTheme="minorHAnsi"/>
        </w:rPr>
        <w:t>（</w:t>
      </w:r>
      <w:proofErr w:type="spellStart"/>
      <w:r>
        <w:rPr>
          <w:rFonts w:asciiTheme="minorHAnsi" w:eastAsia="微软雅黑" w:hAnsiTheme="minorHAnsi"/>
        </w:rPr>
        <w:t>Bydureon</w:t>
      </w:r>
      <w:proofErr w:type="spellEnd"/>
      <w:r>
        <w:rPr>
          <w:rFonts w:asciiTheme="minorHAnsi" w:eastAsia="微软雅黑" w:hAnsiTheme="minorHAnsi"/>
        </w:rPr>
        <w:t>®</w:t>
      </w:r>
      <w:r>
        <w:rPr>
          <w:rFonts w:asciiTheme="minorHAnsi" w:eastAsia="微软雅黑" w:hAnsiTheme="minorHAnsi"/>
        </w:rPr>
        <w:t>，通用名：注射用艾塞那</w:t>
      </w:r>
      <w:proofErr w:type="gramStart"/>
      <w:r>
        <w:rPr>
          <w:rFonts w:asciiTheme="minorHAnsi" w:eastAsia="微软雅黑" w:hAnsiTheme="minorHAnsi"/>
        </w:rPr>
        <w:t>肽</w:t>
      </w:r>
      <w:proofErr w:type="gramEnd"/>
      <w:r>
        <w:rPr>
          <w:rFonts w:asciiTheme="minorHAnsi" w:eastAsia="微软雅黑" w:hAnsiTheme="minorHAnsi"/>
        </w:rPr>
        <w:t>微球）</w:t>
      </w:r>
      <w:r>
        <w:rPr>
          <w:rFonts w:asciiTheme="minorHAnsi" w:eastAsia="微软雅黑" w:hAnsiTheme="minorHAnsi" w:hint="eastAsia"/>
        </w:rPr>
        <w:t>正式</w:t>
      </w:r>
      <w:r>
        <w:rPr>
          <w:rFonts w:asciiTheme="minorHAnsi" w:eastAsia="微软雅黑" w:hAnsiTheme="minorHAnsi"/>
        </w:rPr>
        <w:t>获得了国家食品药品监督管理总局（</w:t>
      </w:r>
      <w:r>
        <w:rPr>
          <w:rFonts w:asciiTheme="minorHAnsi" w:eastAsia="微软雅黑" w:hAnsiTheme="minorHAnsi"/>
        </w:rPr>
        <w:t>CFDA</w:t>
      </w:r>
      <w:r>
        <w:rPr>
          <w:rFonts w:asciiTheme="minorHAnsi" w:eastAsia="微软雅黑" w:hAnsiTheme="minorHAnsi"/>
        </w:rPr>
        <w:t>）</w:t>
      </w:r>
      <w:r>
        <w:rPr>
          <w:rFonts w:asciiTheme="minorHAnsi" w:eastAsia="微软雅黑" w:hAnsiTheme="minorHAnsi" w:hint="eastAsia"/>
        </w:rPr>
        <w:t>批准，</w:t>
      </w:r>
      <w:r w:rsidR="001242DF">
        <w:rPr>
          <w:rFonts w:asciiTheme="minorHAnsi" w:eastAsia="微软雅黑" w:hAnsiTheme="minorHAnsi" w:hint="eastAsia"/>
        </w:rPr>
        <w:t>为</w:t>
      </w:r>
      <w:r w:rsidR="00016803" w:rsidRPr="00390BDB">
        <w:rPr>
          <w:rFonts w:asciiTheme="minorHAnsi" w:eastAsia="微软雅黑" w:hAnsiTheme="minorHAnsi"/>
        </w:rPr>
        <w:t>改善</w:t>
      </w:r>
      <w:r w:rsidR="00016803" w:rsidRPr="00390BDB">
        <w:rPr>
          <w:rFonts w:asciiTheme="minorHAnsi" w:eastAsia="微软雅黑" w:hAnsiTheme="minorHAnsi"/>
        </w:rPr>
        <w:t>2</w:t>
      </w:r>
      <w:r w:rsidR="00016803" w:rsidRPr="00390BDB">
        <w:rPr>
          <w:rFonts w:asciiTheme="minorHAnsi" w:eastAsia="微软雅黑" w:hAnsiTheme="minorHAnsi"/>
        </w:rPr>
        <w:t>型糖尿病患者的血糖控制</w:t>
      </w:r>
      <w:r w:rsidR="001242DF">
        <w:rPr>
          <w:rFonts w:asciiTheme="minorHAnsi" w:eastAsia="微软雅黑" w:hAnsiTheme="minorHAnsi" w:hint="eastAsia"/>
        </w:rPr>
        <w:t>提供了新的治疗选择</w:t>
      </w:r>
      <w:r w:rsidRPr="00390BDB">
        <w:rPr>
          <w:rFonts w:asciiTheme="minorHAnsi" w:eastAsia="微软雅黑" w:hAnsiTheme="minorHAnsi" w:hint="eastAsia"/>
        </w:rPr>
        <w:t>。</w:t>
      </w:r>
    </w:p>
    <w:p w:rsidR="001A203F" w:rsidRDefault="00056EC9">
      <w:pPr>
        <w:ind w:firstLineChars="200" w:firstLine="420"/>
        <w:rPr>
          <w:rFonts w:asciiTheme="minorHAnsi" w:eastAsia="微软雅黑" w:hAnsiTheme="minorHAnsi"/>
        </w:rPr>
      </w:pPr>
      <w:r>
        <w:rPr>
          <w:rFonts w:asciiTheme="minorHAnsi" w:eastAsia="微软雅黑" w:hAnsiTheme="minorHAnsi" w:hint="eastAsia"/>
        </w:rPr>
        <w:t>作为国内</w:t>
      </w:r>
      <w:r>
        <w:rPr>
          <w:rFonts w:asciiTheme="minorHAnsi" w:eastAsia="微软雅黑" w:hAnsiTheme="minorHAnsi"/>
        </w:rPr>
        <w:t>首个</w:t>
      </w:r>
      <w:r>
        <w:rPr>
          <w:rFonts w:asciiTheme="minorHAnsi" w:eastAsia="微软雅黑" w:hAnsiTheme="minorHAnsi" w:hint="eastAsia"/>
        </w:rPr>
        <w:t>、</w:t>
      </w:r>
      <w:r>
        <w:rPr>
          <w:rFonts w:asciiTheme="minorHAnsi" w:eastAsia="微软雅黑" w:hAnsiTheme="minorHAnsi"/>
        </w:rPr>
        <w:t>且目前唯一的一周一次给药的</w:t>
      </w:r>
      <w:r w:rsidR="00A51DDE">
        <w:rPr>
          <w:rFonts w:asciiTheme="minorHAnsi" w:eastAsia="微软雅黑" w:hAnsiTheme="minorHAnsi"/>
        </w:rPr>
        <w:t>GLP-1</w:t>
      </w:r>
      <w:r w:rsidR="00A51DDE">
        <w:rPr>
          <w:rFonts w:asciiTheme="minorHAnsi" w:eastAsia="微软雅黑" w:hAnsiTheme="minorHAnsi" w:hint="eastAsia"/>
        </w:rPr>
        <w:t>药物</w:t>
      </w:r>
      <w:r>
        <w:rPr>
          <w:rFonts w:asciiTheme="minorHAnsi" w:eastAsia="微软雅黑" w:hAnsiTheme="minorHAnsi" w:hint="eastAsia"/>
        </w:rPr>
        <w:t>，</w:t>
      </w:r>
      <w:r w:rsidR="00C1263E">
        <w:rPr>
          <w:rFonts w:asciiTheme="minorHAnsi" w:eastAsia="微软雅黑" w:hAnsiTheme="minorHAnsi"/>
        </w:rPr>
        <w:t>艾塞那</w:t>
      </w:r>
      <w:proofErr w:type="gramStart"/>
      <w:r w:rsidR="00C1263E">
        <w:rPr>
          <w:rFonts w:asciiTheme="minorHAnsi" w:eastAsia="微软雅黑" w:hAnsiTheme="minorHAnsi"/>
        </w:rPr>
        <w:t>肽</w:t>
      </w:r>
      <w:proofErr w:type="gramEnd"/>
      <w:r w:rsidR="00C1263E">
        <w:rPr>
          <w:rFonts w:asciiTheme="minorHAnsi" w:eastAsia="微软雅黑" w:hAnsiTheme="minorHAnsi"/>
        </w:rPr>
        <w:t>微球</w:t>
      </w:r>
      <w:r>
        <w:rPr>
          <w:rFonts w:asciiTheme="minorHAnsi" w:eastAsia="微软雅黑" w:hAnsiTheme="minorHAnsi" w:hint="eastAsia"/>
        </w:rPr>
        <w:t>通过缓释微球技术持续提供稳态艾塞那</w:t>
      </w:r>
      <w:proofErr w:type="gramStart"/>
      <w:r>
        <w:rPr>
          <w:rFonts w:asciiTheme="minorHAnsi" w:eastAsia="微软雅黑" w:hAnsiTheme="minorHAnsi" w:hint="eastAsia"/>
        </w:rPr>
        <w:t>肽</w:t>
      </w:r>
      <w:proofErr w:type="gramEnd"/>
      <w:r>
        <w:rPr>
          <w:rFonts w:asciiTheme="minorHAnsi" w:eastAsia="微软雅黑" w:hAnsiTheme="minorHAnsi" w:hint="eastAsia"/>
        </w:rPr>
        <w:t>浓度水平，从而大大降低给药频率，降低胃肠道不良作用，并增加药物的稳定性和提高患者依从性，</w:t>
      </w:r>
      <w:r>
        <w:rPr>
          <w:rFonts w:asciiTheme="minorHAnsi" w:eastAsia="微软雅黑" w:hAnsiTheme="minorHAnsi"/>
        </w:rPr>
        <w:t>将为广大中国</w:t>
      </w:r>
      <w:r>
        <w:rPr>
          <w:rFonts w:asciiTheme="minorHAnsi" w:eastAsia="微软雅黑" w:hAnsiTheme="minorHAnsi"/>
        </w:rPr>
        <w:t>2</w:t>
      </w:r>
      <w:r>
        <w:rPr>
          <w:rFonts w:asciiTheme="minorHAnsi" w:eastAsia="微软雅黑" w:hAnsiTheme="minorHAnsi"/>
        </w:rPr>
        <w:t>型糖尿病患者提供全新的治疗选择</w:t>
      </w:r>
      <w:r>
        <w:rPr>
          <w:rFonts w:asciiTheme="minorHAnsi" w:eastAsia="微软雅黑" w:hAnsiTheme="minorHAnsi" w:hint="eastAsia"/>
        </w:rPr>
        <w:t>。</w:t>
      </w:r>
    </w:p>
    <w:p w:rsidR="001A203F" w:rsidRDefault="00056EC9">
      <w:pPr>
        <w:ind w:firstLineChars="200" w:firstLine="420"/>
        <w:rPr>
          <w:rFonts w:asciiTheme="minorHAnsi" w:eastAsia="微软雅黑" w:hAnsiTheme="minorHAnsi"/>
        </w:rPr>
      </w:pPr>
      <w:r>
        <w:rPr>
          <w:rFonts w:asciiTheme="minorHAnsi" w:eastAsia="微软雅黑" w:hAnsiTheme="minorHAnsi" w:hint="eastAsia"/>
        </w:rPr>
        <w:t>目前，</w:t>
      </w:r>
      <w:r>
        <w:rPr>
          <w:rFonts w:asciiTheme="minorHAnsi" w:eastAsia="微软雅黑" w:hAnsiTheme="minorHAnsi"/>
        </w:rPr>
        <w:t xml:space="preserve"> GLP-1</w:t>
      </w:r>
      <w:r>
        <w:rPr>
          <w:rFonts w:asciiTheme="minorHAnsi" w:eastAsia="微软雅黑" w:hAnsiTheme="minorHAnsi"/>
        </w:rPr>
        <w:t>受体</w:t>
      </w:r>
      <w:proofErr w:type="gramStart"/>
      <w:r>
        <w:rPr>
          <w:rFonts w:asciiTheme="minorHAnsi" w:eastAsia="微软雅黑" w:hAnsiTheme="minorHAnsi"/>
        </w:rPr>
        <w:t>激动剂周制剂</w:t>
      </w:r>
      <w:proofErr w:type="gramEnd"/>
      <w:r>
        <w:rPr>
          <w:rFonts w:asciiTheme="minorHAnsi" w:eastAsia="微软雅黑" w:hAnsiTheme="minorHAnsi"/>
        </w:rPr>
        <w:t>已在美国、欧洲、</w:t>
      </w:r>
      <w:r w:rsidR="00CD68DD">
        <w:rPr>
          <w:rFonts w:asciiTheme="minorHAnsi" w:eastAsia="微软雅黑" w:hAnsiTheme="minorHAnsi" w:hint="eastAsia"/>
        </w:rPr>
        <w:t>日本、</w:t>
      </w:r>
      <w:r>
        <w:rPr>
          <w:rFonts w:asciiTheme="minorHAnsi" w:eastAsia="微软雅黑" w:hAnsiTheme="minorHAnsi"/>
        </w:rPr>
        <w:t>韩国、香港、台湾等多地上市</w:t>
      </w:r>
      <w:r>
        <w:rPr>
          <w:rFonts w:asciiTheme="minorHAnsi" w:eastAsia="微软雅黑" w:hAnsiTheme="minorHAnsi" w:hint="eastAsia"/>
        </w:rPr>
        <w:t>，在</w:t>
      </w:r>
      <w:r>
        <w:rPr>
          <w:rFonts w:asciiTheme="minorHAnsi" w:eastAsia="微软雅黑" w:hAnsiTheme="minorHAnsi" w:hint="eastAsia"/>
        </w:rPr>
        <w:t>2</w:t>
      </w:r>
      <w:r>
        <w:rPr>
          <w:rFonts w:asciiTheme="minorHAnsi" w:eastAsia="微软雅黑" w:hAnsiTheme="minorHAnsi" w:hint="eastAsia"/>
        </w:rPr>
        <w:t>型糖尿病患者的临床使用经验中，总体安全性良好。</w:t>
      </w:r>
      <w:bookmarkEnd w:id="0"/>
      <w:bookmarkEnd w:id="1"/>
      <w:bookmarkEnd w:id="2"/>
    </w:p>
    <w:p w:rsidR="001A203F" w:rsidRDefault="001A203F">
      <w:pPr>
        <w:rPr>
          <w:rFonts w:asciiTheme="minorHAnsi" w:eastAsia="微软雅黑" w:hAnsiTheme="minorHAnsi"/>
          <w:b/>
        </w:rPr>
      </w:pPr>
    </w:p>
    <w:p w:rsidR="001A203F" w:rsidRPr="007054F9" w:rsidRDefault="00056EC9" w:rsidP="007054F9">
      <w:pPr>
        <w:ind w:firstLineChars="200" w:firstLine="420"/>
        <w:rPr>
          <w:rFonts w:asciiTheme="minorHAnsi" w:eastAsia="微软雅黑" w:hAnsiTheme="minorHAnsi"/>
          <w:b/>
        </w:rPr>
      </w:pPr>
      <w:r>
        <w:rPr>
          <w:rFonts w:asciiTheme="minorHAnsi" w:eastAsia="微软雅黑" w:hAnsiTheme="minorHAnsi"/>
          <w:b/>
        </w:rPr>
        <w:t>中国</w:t>
      </w:r>
      <w:r>
        <w:rPr>
          <w:rFonts w:asciiTheme="minorHAnsi" w:eastAsia="微软雅黑" w:hAnsiTheme="minorHAnsi" w:hint="eastAsia"/>
          <w:b/>
        </w:rPr>
        <w:t>糖尿病管理面临巨大挑战</w:t>
      </w:r>
    </w:p>
    <w:p w:rsidR="001A203F" w:rsidRDefault="00056EC9">
      <w:pPr>
        <w:ind w:firstLineChars="200" w:firstLine="420"/>
        <w:rPr>
          <w:rFonts w:asciiTheme="minorHAnsi" w:eastAsia="微软雅黑" w:hAnsiTheme="minorHAnsi"/>
        </w:rPr>
      </w:pPr>
      <w:r>
        <w:rPr>
          <w:rFonts w:asciiTheme="minorHAnsi" w:eastAsia="微软雅黑" w:hAnsiTheme="minorHAnsi"/>
        </w:rPr>
        <w:t>随着社会经济的发展和人们生活方式的改变，</w:t>
      </w:r>
      <w:r>
        <w:rPr>
          <w:rFonts w:asciiTheme="minorHAnsi" w:eastAsia="微软雅黑" w:hAnsiTheme="minorHAnsi" w:hint="eastAsia"/>
        </w:rPr>
        <w:t>我国</w:t>
      </w:r>
      <w:r>
        <w:rPr>
          <w:rFonts w:asciiTheme="minorHAnsi" w:eastAsia="微软雅黑" w:hAnsiTheme="minorHAnsi"/>
        </w:rPr>
        <w:t>糖尿病的患病率在全球正处于快速上升期，日益成为严重威胁人类健康的全球性慢性疾病。我国的糖尿病发病率更是迅猛攀升，患病人群已达到</w:t>
      </w:r>
      <w:r>
        <w:rPr>
          <w:rFonts w:asciiTheme="minorHAnsi" w:eastAsia="微软雅黑" w:hAnsiTheme="minorHAnsi"/>
        </w:rPr>
        <w:t>1.14</w:t>
      </w:r>
      <w:r>
        <w:rPr>
          <w:rFonts w:asciiTheme="minorHAnsi" w:eastAsia="微软雅黑" w:hAnsiTheme="minorHAnsi"/>
        </w:rPr>
        <w:t>亿，且呈现年轻化趋势发展</w:t>
      </w:r>
      <w:r>
        <w:rPr>
          <w:rFonts w:asciiTheme="minorHAnsi" w:eastAsia="微软雅黑" w:hAnsiTheme="minorHAnsi" w:hint="eastAsia"/>
        </w:rPr>
        <w:t>，</w:t>
      </w:r>
      <w:r>
        <w:rPr>
          <w:rFonts w:asciiTheme="minorHAnsi" w:eastAsia="微软雅黑" w:hAnsiTheme="minorHAnsi"/>
        </w:rPr>
        <w:t>中国已经成为名副其实的</w:t>
      </w:r>
      <w:r>
        <w:rPr>
          <w:rFonts w:asciiTheme="minorHAnsi" w:eastAsia="微软雅黑" w:hAnsiTheme="minorHAnsi" w:hint="eastAsia"/>
        </w:rPr>
        <w:t>“</w:t>
      </w:r>
      <w:r>
        <w:rPr>
          <w:rFonts w:asciiTheme="minorHAnsi" w:eastAsia="微软雅黑" w:hAnsiTheme="minorHAnsi"/>
        </w:rPr>
        <w:t>全球糖尿病第一大国</w:t>
      </w:r>
      <w:r>
        <w:rPr>
          <w:rFonts w:asciiTheme="minorHAnsi" w:eastAsia="微软雅黑" w:hAnsiTheme="minorHAnsi" w:hint="eastAsia"/>
        </w:rPr>
        <w:t>”</w:t>
      </w:r>
      <w:r>
        <w:rPr>
          <w:rFonts w:asciiTheme="minorHAnsi" w:eastAsia="微软雅黑" w:hAnsiTheme="minorHAnsi"/>
        </w:rPr>
        <w:t>。</w:t>
      </w:r>
      <w:bookmarkStart w:id="5" w:name="OLE_LINK18"/>
      <w:bookmarkStart w:id="6" w:name="OLE_LINK19"/>
    </w:p>
    <w:p w:rsidR="001A203F" w:rsidRDefault="00056EC9">
      <w:pPr>
        <w:ind w:firstLineChars="200" w:firstLine="420"/>
        <w:rPr>
          <w:rFonts w:ascii="微软雅黑" w:eastAsia="微软雅黑" w:hAnsi="微软雅黑" w:cstheme="minorBidi"/>
        </w:rPr>
      </w:pPr>
      <w:r>
        <w:rPr>
          <w:rFonts w:asciiTheme="minorHAnsi" w:eastAsia="微软雅黑" w:hAnsiTheme="minorHAnsi"/>
        </w:rPr>
        <w:t>根据</w:t>
      </w:r>
      <w:bookmarkStart w:id="7" w:name="OLE_LINK14"/>
      <w:bookmarkStart w:id="8" w:name="OLE_LINK15"/>
      <w:r>
        <w:rPr>
          <w:rFonts w:asciiTheme="minorHAnsi" w:eastAsia="微软雅黑" w:hAnsiTheme="minorHAnsi"/>
        </w:rPr>
        <w:t>2017</w:t>
      </w:r>
      <w:r>
        <w:rPr>
          <w:rFonts w:asciiTheme="minorHAnsi" w:eastAsia="微软雅黑" w:hAnsiTheme="minorHAnsi"/>
        </w:rPr>
        <w:t>年发表在</w:t>
      </w:r>
      <w:r>
        <w:rPr>
          <w:rFonts w:asciiTheme="minorHAnsi" w:eastAsia="微软雅黑" w:hAnsiTheme="minorHAnsi"/>
        </w:rPr>
        <w:t>JAMA</w:t>
      </w:r>
      <w:r>
        <w:rPr>
          <w:rFonts w:asciiTheme="minorHAnsi" w:eastAsia="微软雅黑" w:hAnsiTheme="minorHAnsi"/>
        </w:rPr>
        <w:t>杂志的</w:t>
      </w:r>
      <w:bookmarkStart w:id="9" w:name="OLE_LINK8"/>
      <w:bookmarkStart w:id="10" w:name="OLE_LINK9"/>
      <w:r>
        <w:rPr>
          <w:rFonts w:asciiTheme="minorHAnsi" w:eastAsia="微软雅黑" w:hAnsiTheme="minorHAnsi"/>
        </w:rPr>
        <w:t>中国糖尿病患者流行病学调查</w:t>
      </w:r>
      <w:bookmarkEnd w:id="9"/>
      <w:bookmarkEnd w:id="10"/>
      <w:r>
        <w:rPr>
          <w:rFonts w:asciiTheme="minorHAnsi" w:eastAsia="微软雅黑" w:hAnsiTheme="minorHAnsi"/>
        </w:rPr>
        <w:t>数据显示</w:t>
      </w:r>
      <w:bookmarkEnd w:id="5"/>
      <w:bookmarkEnd w:id="6"/>
      <w:bookmarkEnd w:id="7"/>
      <w:bookmarkEnd w:id="8"/>
      <w:r>
        <w:rPr>
          <w:rFonts w:asciiTheme="minorHAnsi" w:eastAsia="微软雅黑" w:hAnsiTheme="minorHAnsi"/>
        </w:rPr>
        <w:t>，</w:t>
      </w:r>
      <w:bookmarkStart w:id="11" w:name="OLE_LINK10"/>
      <w:bookmarkStart w:id="12" w:name="OLE_LINK11"/>
      <w:r>
        <w:rPr>
          <w:rFonts w:asciiTheme="minorHAnsi" w:eastAsia="微软雅黑" w:hAnsiTheme="minorHAnsi"/>
        </w:rPr>
        <w:t>我国成人糖尿病和糖尿病前期最新的患病率分别为</w:t>
      </w:r>
      <w:r>
        <w:rPr>
          <w:rFonts w:asciiTheme="minorHAnsi" w:eastAsia="微软雅黑" w:hAnsiTheme="minorHAnsi"/>
        </w:rPr>
        <w:t>10.9%</w:t>
      </w:r>
      <w:r>
        <w:rPr>
          <w:rFonts w:asciiTheme="minorHAnsi" w:eastAsia="微软雅黑" w:hAnsiTheme="minorHAnsi"/>
        </w:rPr>
        <w:t>和</w:t>
      </w:r>
      <w:r>
        <w:rPr>
          <w:rFonts w:asciiTheme="minorHAnsi" w:eastAsia="微软雅黑" w:hAnsiTheme="minorHAnsi"/>
        </w:rPr>
        <w:t>35.7%</w:t>
      </w:r>
      <w:r>
        <w:rPr>
          <w:rFonts w:asciiTheme="minorHAnsi" w:eastAsia="微软雅黑" w:hAnsiTheme="minorHAnsi"/>
        </w:rPr>
        <w:t>。</w:t>
      </w:r>
      <w:bookmarkEnd w:id="11"/>
      <w:bookmarkEnd w:id="12"/>
      <w:r>
        <w:rPr>
          <w:rFonts w:asciiTheme="minorHAnsi" w:eastAsia="微软雅黑" w:hAnsiTheme="minorHAnsi"/>
        </w:rPr>
        <w:t>接受降</w:t>
      </w:r>
      <w:proofErr w:type="gramStart"/>
      <w:r>
        <w:rPr>
          <w:rFonts w:asciiTheme="minorHAnsi" w:eastAsia="微软雅黑" w:hAnsiTheme="minorHAnsi"/>
        </w:rPr>
        <w:t>糖治疗</w:t>
      </w:r>
      <w:proofErr w:type="gramEnd"/>
      <w:r>
        <w:rPr>
          <w:rFonts w:asciiTheme="minorHAnsi" w:eastAsia="微软雅黑" w:hAnsiTheme="minorHAnsi"/>
        </w:rPr>
        <w:t>的患者中，血糖达标的患者仅</w:t>
      </w:r>
      <w:r>
        <w:rPr>
          <w:rFonts w:asciiTheme="minorHAnsi" w:eastAsia="微软雅黑" w:hAnsiTheme="minorHAnsi"/>
        </w:rPr>
        <w:t>49.2</w:t>
      </w:r>
      <w:r>
        <w:rPr>
          <w:rFonts w:asciiTheme="minorHAnsi" w:eastAsia="微软雅黑" w:hAnsiTheme="minorHAnsi"/>
        </w:rPr>
        <w:t>％。如何有效控制血糖，提高患者生活质量已经成为对当代临床医学的重要挑</w:t>
      </w:r>
      <w:r>
        <w:rPr>
          <w:rFonts w:asciiTheme="minorHAnsi" w:eastAsia="微软雅黑" w:hAnsiTheme="minorHAnsi"/>
        </w:rPr>
        <w:lastRenderedPageBreak/>
        <w:t>战。</w:t>
      </w:r>
    </w:p>
    <w:p w:rsidR="001A203F" w:rsidRDefault="001A203F">
      <w:pPr>
        <w:rPr>
          <w:rFonts w:asciiTheme="minorHAnsi" w:eastAsia="微软雅黑" w:hAnsiTheme="minorHAnsi"/>
          <w:b/>
        </w:rPr>
      </w:pPr>
    </w:p>
    <w:p w:rsidR="001A203F" w:rsidRPr="00C1263E" w:rsidRDefault="00056EC9">
      <w:pPr>
        <w:rPr>
          <w:rFonts w:asciiTheme="minorHAnsi" w:eastAsia="微软雅黑" w:hAnsiTheme="minorHAnsi"/>
          <w:b/>
        </w:rPr>
      </w:pPr>
      <w:r w:rsidRPr="00C1263E">
        <w:rPr>
          <w:rFonts w:asciiTheme="minorHAnsi" w:eastAsia="微软雅黑" w:hAnsiTheme="minorHAnsi"/>
          <w:b/>
        </w:rPr>
        <w:t>一</w:t>
      </w:r>
      <w:r w:rsidRPr="00C1263E">
        <w:rPr>
          <w:rFonts w:asciiTheme="minorHAnsi" w:eastAsia="微软雅黑" w:hAnsiTheme="minorHAnsi" w:hint="eastAsia"/>
          <w:b/>
        </w:rPr>
        <w:t>周一次改善</w:t>
      </w:r>
      <w:r w:rsidRPr="00C1263E">
        <w:rPr>
          <w:rFonts w:asciiTheme="minorHAnsi" w:eastAsia="微软雅黑" w:hAnsiTheme="minorHAnsi"/>
          <w:b/>
        </w:rPr>
        <w:t>2</w:t>
      </w:r>
      <w:r w:rsidRPr="00C1263E">
        <w:rPr>
          <w:rFonts w:asciiTheme="minorHAnsi" w:eastAsia="微软雅黑" w:hAnsiTheme="minorHAnsi" w:hint="eastAsia"/>
          <w:b/>
        </w:rPr>
        <w:t>型糖尿病血糖控制</w:t>
      </w:r>
      <w:r w:rsidR="00D925B7" w:rsidRPr="00C1263E">
        <w:rPr>
          <w:rFonts w:asciiTheme="minorHAnsi" w:eastAsia="微软雅黑" w:hAnsiTheme="minorHAnsi" w:hint="eastAsia"/>
          <w:b/>
        </w:rPr>
        <w:t>，提高依从性</w:t>
      </w:r>
    </w:p>
    <w:p w:rsidR="001A203F" w:rsidRDefault="001135AB">
      <w:pPr>
        <w:ind w:firstLineChars="200" w:firstLine="420"/>
        <w:rPr>
          <w:rFonts w:asciiTheme="minorHAnsi" w:eastAsia="微软雅黑" w:hAnsiTheme="minorHAnsi"/>
        </w:rPr>
      </w:pPr>
      <w:r w:rsidRPr="00C1263E">
        <w:rPr>
          <w:rFonts w:asciiTheme="minorHAnsi" w:eastAsia="微软雅黑" w:hAnsiTheme="minorHAnsi"/>
        </w:rPr>
        <w:t>艾塞那肽微球</w:t>
      </w:r>
      <w:r w:rsidR="00056EC9" w:rsidRPr="00C1263E">
        <w:rPr>
          <w:rFonts w:asciiTheme="minorHAnsi" w:eastAsia="微软雅黑" w:hAnsiTheme="minorHAnsi"/>
        </w:rPr>
        <w:t>III</w:t>
      </w:r>
      <w:r w:rsidR="00056EC9" w:rsidRPr="00C1263E">
        <w:rPr>
          <w:rFonts w:asciiTheme="minorHAnsi" w:eastAsia="微软雅黑" w:hAnsiTheme="minorHAnsi"/>
        </w:rPr>
        <w:t>期亚洲临床研究的首席研究者、心血管安全性研究（</w:t>
      </w:r>
      <w:r w:rsidR="00056EC9" w:rsidRPr="00C1263E">
        <w:rPr>
          <w:rFonts w:asciiTheme="minorHAnsi" w:eastAsia="微软雅黑" w:hAnsiTheme="minorHAnsi"/>
        </w:rPr>
        <w:t>EXSCEL</w:t>
      </w:r>
      <w:r w:rsidR="00056EC9" w:rsidRPr="00C1263E">
        <w:rPr>
          <w:rFonts w:asciiTheme="minorHAnsi" w:eastAsia="微软雅黑" w:hAnsiTheme="minorHAnsi"/>
        </w:rPr>
        <w:t>研究）中国区负责人</w:t>
      </w:r>
      <w:r w:rsidR="00056EC9" w:rsidRPr="00C1263E">
        <w:rPr>
          <w:rFonts w:asciiTheme="minorHAnsi" w:eastAsia="微软雅黑" w:hAnsiTheme="minorHAnsi" w:hint="eastAsia"/>
        </w:rPr>
        <w:t>、</w:t>
      </w:r>
      <w:r w:rsidR="00056EC9" w:rsidRPr="00C1263E">
        <w:rPr>
          <w:rFonts w:asciiTheme="minorHAnsi" w:eastAsia="微软雅黑" w:hAnsiTheme="minorHAnsi"/>
        </w:rPr>
        <w:t>北京大学人民医院纪立农教授指出：</w:t>
      </w:r>
      <w:r w:rsidR="00056EC9" w:rsidRPr="00C1263E">
        <w:rPr>
          <w:rFonts w:asciiTheme="minorHAnsi" w:eastAsia="微软雅黑" w:hAnsiTheme="minorHAnsi"/>
        </w:rPr>
        <w:t>“</w:t>
      </w:r>
      <w:r w:rsidR="00056EC9" w:rsidRPr="00C1263E">
        <w:rPr>
          <w:rFonts w:asciiTheme="minorHAnsi" w:eastAsia="微软雅黑" w:hAnsiTheme="minorHAnsi"/>
        </w:rPr>
        <w:t>血糖控制不佳的原因有很多，其中多次给药，针剂注射的疼痛感等都会大大降低患者长期用药的依从性</w:t>
      </w:r>
      <w:r w:rsidR="00056EC9" w:rsidRPr="00C1263E">
        <w:rPr>
          <w:rFonts w:asciiTheme="minorHAnsi" w:eastAsia="微软雅黑" w:hAnsiTheme="minorHAnsi" w:hint="eastAsia"/>
        </w:rPr>
        <w:t>，同时</w:t>
      </w:r>
      <w:r w:rsidR="00056EC9" w:rsidRPr="00C1263E">
        <w:rPr>
          <w:rFonts w:asciiTheme="minorHAnsi" w:eastAsia="微软雅黑" w:hAnsiTheme="minorHAnsi"/>
        </w:rPr>
        <w:t>使药物的疗效下降。</w:t>
      </w:r>
      <w:r w:rsidR="00056EC9" w:rsidRPr="00C1263E">
        <w:rPr>
          <w:rFonts w:asciiTheme="minorHAnsi" w:eastAsia="微软雅黑" w:hAnsiTheme="minorHAnsi"/>
        </w:rPr>
        <w:t xml:space="preserve"> GLP-1</w:t>
      </w:r>
      <w:r w:rsidR="00056EC9" w:rsidRPr="00C1263E">
        <w:rPr>
          <w:rFonts w:asciiTheme="minorHAnsi" w:eastAsia="微软雅黑" w:hAnsiTheme="minorHAnsi"/>
        </w:rPr>
        <w:t>受体激动剂周制剂在中国的上市</w:t>
      </w:r>
      <w:r w:rsidR="00056EC9" w:rsidRPr="00C1263E">
        <w:rPr>
          <w:rFonts w:asciiTheme="minorHAnsi" w:eastAsia="微软雅黑" w:hAnsiTheme="minorHAnsi" w:hint="eastAsia"/>
        </w:rPr>
        <w:t>，</w:t>
      </w:r>
      <w:r w:rsidR="009017F5">
        <w:rPr>
          <w:rFonts w:asciiTheme="minorHAnsi" w:eastAsia="微软雅黑" w:hAnsiTheme="minorHAnsi"/>
        </w:rPr>
        <w:t>为糖尿病患者带来一周一次的</w:t>
      </w:r>
      <w:r w:rsidR="00056EC9" w:rsidRPr="00C1263E">
        <w:rPr>
          <w:rFonts w:asciiTheme="minorHAnsi" w:eastAsia="微软雅黑" w:hAnsiTheme="minorHAnsi"/>
        </w:rPr>
        <w:t>长效降糖治疗模式，有望进一步改善中国</w:t>
      </w:r>
      <w:r w:rsidR="00056EC9" w:rsidRPr="00C1263E">
        <w:rPr>
          <w:rFonts w:asciiTheme="minorHAnsi" w:eastAsia="微软雅黑" w:hAnsiTheme="minorHAnsi"/>
        </w:rPr>
        <w:t>2</w:t>
      </w:r>
      <w:r w:rsidR="00056EC9" w:rsidRPr="00C1263E">
        <w:rPr>
          <w:rFonts w:asciiTheme="minorHAnsi" w:eastAsia="微软雅黑" w:hAnsiTheme="minorHAnsi"/>
        </w:rPr>
        <w:t>型糖尿病的控制率。</w:t>
      </w:r>
      <w:bookmarkStart w:id="13" w:name="OLE_LINK12"/>
      <w:bookmarkStart w:id="14" w:name="OLE_LINK13"/>
      <w:r w:rsidR="00056EC9" w:rsidRPr="00C1263E">
        <w:rPr>
          <w:rFonts w:asciiTheme="minorHAnsi" w:eastAsia="微软雅黑" w:hAnsiTheme="minorHAnsi" w:hint="eastAsia"/>
        </w:rPr>
        <w:t>”</w:t>
      </w:r>
    </w:p>
    <w:p w:rsidR="001A203F" w:rsidRDefault="00056EC9">
      <w:pPr>
        <w:ind w:firstLineChars="200" w:firstLine="420"/>
        <w:rPr>
          <w:rFonts w:asciiTheme="minorHAnsi" w:eastAsia="微软雅黑" w:hAnsiTheme="minorHAnsi"/>
        </w:rPr>
      </w:pPr>
      <w:r w:rsidRPr="00C1263E">
        <w:rPr>
          <w:rFonts w:asciiTheme="minorHAnsi" w:eastAsia="微软雅黑" w:hAnsiTheme="minorHAnsi"/>
        </w:rPr>
        <w:t>临床试验表明，</w:t>
      </w:r>
      <w:r w:rsidR="00C643E2" w:rsidRPr="00C1263E">
        <w:rPr>
          <w:rFonts w:asciiTheme="minorHAnsi" w:eastAsia="微软雅黑" w:hAnsiTheme="minorHAnsi"/>
        </w:rPr>
        <w:t>艾塞那肽微球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一周一次可降低糖化血红蛋白（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HbA1c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）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1.3%-1.9%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，</w:t>
      </w:r>
      <w:r w:rsidRPr="00C1263E">
        <w:rPr>
          <w:rFonts w:asciiTheme="minorHAnsi" w:eastAsia="微软雅黑" w:hAnsiTheme="minorHAnsi"/>
        </w:rPr>
        <w:t>可降低体重</w:t>
      </w:r>
      <w:r w:rsidRPr="00C1263E">
        <w:rPr>
          <w:rFonts w:asciiTheme="minorHAnsi" w:eastAsia="微软雅黑" w:hAnsiTheme="minorHAnsi"/>
        </w:rPr>
        <w:t>2.0kg - 3.7kg</w:t>
      </w:r>
      <w:r w:rsidRPr="00C1263E">
        <w:rPr>
          <w:rFonts w:asciiTheme="minorHAnsi" w:eastAsia="微软雅黑" w:hAnsiTheme="minorHAnsi"/>
        </w:rPr>
        <w:t>，降糖的同时，兼顾减重，提高了糖尿病患者的生活质量。此外，相关试验表明</w:t>
      </w:r>
      <w:r w:rsidRPr="00C1263E">
        <w:rPr>
          <w:rFonts w:asciiTheme="minorHAnsi" w:eastAsia="微软雅黑" w:hAnsiTheme="minorHAnsi" w:hint="eastAsia"/>
        </w:rPr>
        <w:t>：</w:t>
      </w:r>
      <w:r w:rsidR="00C643E2" w:rsidRPr="00C1263E">
        <w:rPr>
          <w:rFonts w:asciiTheme="minorHAnsi" w:eastAsia="微软雅黑" w:hAnsiTheme="minorHAnsi"/>
        </w:rPr>
        <w:t>艾塞那肽微球</w:t>
      </w:r>
      <w:r w:rsidRPr="00C1263E">
        <w:rPr>
          <w:rFonts w:asciiTheme="minorHAnsi" w:eastAsia="微软雅黑" w:hAnsiTheme="minorHAnsi"/>
        </w:rPr>
        <w:t>一周一次，可降低患者的收缩压和血脂水平，</w:t>
      </w:r>
      <w:r w:rsidR="00B64B2C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可显著降低全因死亡</w:t>
      </w:r>
      <w:bookmarkStart w:id="15" w:name="_GoBack"/>
      <w:bookmarkEnd w:id="15"/>
      <w:r w:rsidR="008D4BE9" w:rsidRPr="00C1263E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风险</w:t>
      </w:r>
      <w:r w:rsidRPr="00C1263E">
        <w:rPr>
          <w:rFonts w:asciiTheme="minorHAnsi" w:eastAsia="微软雅黑" w:hAnsiTheme="minorHAnsi"/>
        </w:rPr>
        <w:t>，安全</w:t>
      </w:r>
      <w:r w:rsidRPr="00C1263E">
        <w:rPr>
          <w:rFonts w:asciiTheme="minorHAnsi" w:eastAsia="微软雅黑" w:hAnsiTheme="minorHAnsi" w:hint="eastAsia"/>
        </w:rPr>
        <w:t>性良好</w:t>
      </w:r>
      <w:r w:rsidRPr="00C1263E">
        <w:rPr>
          <w:rFonts w:asciiTheme="minorHAnsi" w:eastAsia="微软雅黑" w:hAnsiTheme="minorHAnsi"/>
        </w:rPr>
        <w:t>。</w:t>
      </w:r>
    </w:p>
    <w:p w:rsidR="001A203F" w:rsidRPr="007054F9" w:rsidRDefault="00056EC9" w:rsidP="007054F9">
      <w:pPr>
        <w:ind w:firstLineChars="200" w:firstLine="420"/>
        <w:rPr>
          <w:rFonts w:asciiTheme="minorHAnsi" w:eastAsia="微软雅黑" w:hAnsiTheme="minorHAnsi"/>
        </w:rPr>
      </w:pPr>
      <w:r w:rsidRPr="00C1263E">
        <w:rPr>
          <w:rFonts w:asciiTheme="minorHAnsi" w:eastAsia="微软雅黑" w:hAnsiTheme="minorHAnsi"/>
        </w:rPr>
        <w:t>纪立农教授</w:t>
      </w:r>
      <w:r w:rsidRPr="00C1263E">
        <w:rPr>
          <w:rFonts w:asciiTheme="minorHAnsi" w:eastAsia="微软雅黑" w:hAnsiTheme="minorHAnsi" w:hint="eastAsia"/>
        </w:rPr>
        <w:t>表示：“</w:t>
      </w:r>
      <w:r w:rsidR="001135AB" w:rsidRPr="00C1263E">
        <w:rPr>
          <w:rFonts w:asciiTheme="minorHAnsi" w:eastAsia="微软雅黑" w:hAnsiTheme="minorHAnsi"/>
        </w:rPr>
        <w:t>艾塞那肽微球</w:t>
      </w:r>
      <w:bookmarkEnd w:id="13"/>
      <w:bookmarkEnd w:id="14"/>
      <w:r w:rsidRPr="00C1263E">
        <w:rPr>
          <w:rFonts w:asciiTheme="minorHAnsi" w:eastAsia="微软雅黑" w:hAnsiTheme="minorHAnsi"/>
        </w:rPr>
        <w:t>是中国首个，且目前国内唯一的一周一次的降糖药，亚洲</w:t>
      </w:r>
      <w:r w:rsidRPr="00C1263E">
        <w:rPr>
          <w:rFonts w:asciiTheme="minorHAnsi" w:eastAsia="微软雅黑" w:hAnsiTheme="minorHAnsi"/>
        </w:rPr>
        <w:t>III</w:t>
      </w:r>
      <w:r w:rsidRPr="00C1263E">
        <w:rPr>
          <w:rFonts w:asciiTheme="minorHAnsi" w:eastAsia="微软雅黑" w:hAnsiTheme="minorHAnsi"/>
        </w:rPr>
        <w:t>期临床研究的证据显示：对于中国患者，在口服降糖药基础上加用</w:t>
      </w:r>
      <w:r w:rsidR="001135AB" w:rsidRPr="00C1263E">
        <w:rPr>
          <w:rFonts w:asciiTheme="minorHAnsi" w:eastAsia="微软雅黑" w:hAnsiTheme="minorHAnsi"/>
        </w:rPr>
        <w:t>艾塞那肽微球</w:t>
      </w:r>
      <w:r w:rsidRPr="00C1263E">
        <w:rPr>
          <w:rFonts w:asciiTheme="minorHAnsi" w:eastAsia="微软雅黑" w:hAnsiTheme="minorHAnsi"/>
        </w:rPr>
        <w:t>与已经在我国上市的每日两次给药的</w:t>
      </w:r>
      <w:r w:rsidR="003C7782" w:rsidRPr="00C1263E">
        <w:rPr>
          <w:rFonts w:asciiTheme="minorHAnsi" w:eastAsia="微软雅黑" w:hAnsiTheme="minorHAnsi" w:hint="eastAsia"/>
        </w:rPr>
        <w:t>艾塞那</w:t>
      </w:r>
      <w:proofErr w:type="gramStart"/>
      <w:r w:rsidR="003C7782" w:rsidRPr="00C1263E">
        <w:rPr>
          <w:rFonts w:asciiTheme="minorHAnsi" w:eastAsia="微软雅黑" w:hAnsiTheme="minorHAnsi" w:hint="eastAsia"/>
        </w:rPr>
        <w:t>肽</w:t>
      </w:r>
      <w:proofErr w:type="gramEnd"/>
      <w:r w:rsidRPr="00C1263E">
        <w:rPr>
          <w:rFonts w:asciiTheme="minorHAnsi" w:eastAsia="微软雅黑" w:hAnsiTheme="minorHAnsi"/>
        </w:rPr>
        <w:t>相比，可更好的改善血糖控制，低血糖风险更小，且体重降幅与</w:t>
      </w:r>
      <w:r w:rsidR="003C7782" w:rsidRPr="00C1263E">
        <w:rPr>
          <w:rFonts w:asciiTheme="minorHAnsi" w:eastAsia="微软雅黑" w:hAnsiTheme="minorHAnsi" w:hint="eastAsia"/>
        </w:rPr>
        <w:t>艾塞那</w:t>
      </w:r>
      <w:proofErr w:type="gramStart"/>
      <w:r w:rsidR="003C7782" w:rsidRPr="00C1263E">
        <w:rPr>
          <w:rFonts w:asciiTheme="minorHAnsi" w:eastAsia="微软雅黑" w:hAnsiTheme="minorHAnsi" w:hint="eastAsia"/>
        </w:rPr>
        <w:t>肽</w:t>
      </w:r>
      <w:proofErr w:type="gramEnd"/>
      <w:r w:rsidRPr="00C1263E">
        <w:rPr>
          <w:rFonts w:asciiTheme="minorHAnsi" w:eastAsia="微软雅黑" w:hAnsiTheme="minorHAnsi"/>
        </w:rPr>
        <w:t>相当。此外</w:t>
      </w:r>
      <w:r w:rsidRPr="00C1263E">
        <w:rPr>
          <w:rFonts w:asciiTheme="minorHAnsi" w:eastAsia="微软雅黑" w:hAnsiTheme="minorHAnsi" w:hint="eastAsia"/>
        </w:rPr>
        <w:t>在已上市的</w:t>
      </w:r>
      <w:r w:rsidRPr="00C1263E">
        <w:rPr>
          <w:rFonts w:asciiTheme="minorHAnsi" w:eastAsia="微软雅黑" w:hAnsiTheme="minorHAnsi"/>
        </w:rPr>
        <w:t>GLP-1</w:t>
      </w:r>
      <w:r w:rsidRPr="00C1263E">
        <w:rPr>
          <w:rFonts w:asciiTheme="minorHAnsi" w:eastAsia="微软雅黑" w:hAnsiTheme="minorHAnsi"/>
        </w:rPr>
        <w:t>受体激动剂周制剂</w:t>
      </w:r>
      <w:r w:rsidRPr="00C1263E">
        <w:rPr>
          <w:rFonts w:asciiTheme="minorHAnsi" w:eastAsia="微软雅黑" w:hAnsiTheme="minorHAnsi" w:hint="eastAsia"/>
        </w:rPr>
        <w:t>中，</w:t>
      </w:r>
      <w:r w:rsidR="001135AB" w:rsidRPr="00C1263E">
        <w:rPr>
          <w:rFonts w:asciiTheme="minorHAnsi" w:eastAsia="微软雅黑" w:hAnsiTheme="minorHAnsi"/>
        </w:rPr>
        <w:t>艾塞那</w:t>
      </w:r>
      <w:proofErr w:type="gramStart"/>
      <w:r w:rsidR="001135AB" w:rsidRPr="00C1263E">
        <w:rPr>
          <w:rFonts w:asciiTheme="minorHAnsi" w:eastAsia="微软雅黑" w:hAnsiTheme="minorHAnsi"/>
        </w:rPr>
        <w:t>肽</w:t>
      </w:r>
      <w:proofErr w:type="gramEnd"/>
      <w:r w:rsidR="001135AB" w:rsidRPr="00C1263E">
        <w:rPr>
          <w:rFonts w:asciiTheme="minorHAnsi" w:eastAsia="微软雅黑" w:hAnsiTheme="minorHAnsi"/>
        </w:rPr>
        <w:t>微球</w:t>
      </w:r>
      <w:r w:rsidRPr="00C1263E">
        <w:rPr>
          <w:rFonts w:asciiTheme="minorHAnsi" w:eastAsia="微软雅黑" w:hAnsiTheme="minorHAnsi"/>
        </w:rPr>
        <w:t>也是目前</w:t>
      </w:r>
      <w:r w:rsidRPr="00C1263E">
        <w:rPr>
          <w:rFonts w:asciiTheme="minorHAnsi" w:eastAsia="微软雅黑" w:hAnsiTheme="minorHAnsi" w:hint="eastAsia"/>
        </w:rPr>
        <w:t>中国</w:t>
      </w:r>
      <w:r w:rsidRPr="00C1263E">
        <w:rPr>
          <w:rFonts w:asciiTheme="minorHAnsi" w:eastAsia="微软雅黑" w:hAnsiTheme="minorHAnsi"/>
        </w:rPr>
        <w:t>唯一的一个经过大型临床试验（</w:t>
      </w:r>
      <w:r w:rsidRPr="00C1263E">
        <w:rPr>
          <w:rFonts w:asciiTheme="minorHAnsi" w:eastAsia="微软雅黑" w:hAnsiTheme="minorHAnsi"/>
        </w:rPr>
        <w:t>EXSCEL</w:t>
      </w:r>
      <w:r w:rsidRPr="00C1263E">
        <w:rPr>
          <w:rFonts w:asciiTheme="minorHAnsi" w:eastAsia="微软雅黑" w:hAnsiTheme="minorHAnsi"/>
        </w:rPr>
        <w:t>研究）证明心血管安全</w:t>
      </w:r>
      <w:r w:rsidRPr="00C1263E">
        <w:rPr>
          <w:rFonts w:asciiTheme="minorHAnsi" w:eastAsia="微软雅黑" w:hAnsiTheme="minorHAnsi" w:hint="eastAsia"/>
          <w:lang w:val="en-GB"/>
        </w:rPr>
        <w:t>性</w:t>
      </w:r>
      <w:r w:rsidRPr="00C1263E">
        <w:rPr>
          <w:rFonts w:asciiTheme="minorHAnsi" w:eastAsia="微软雅黑" w:hAnsiTheme="minorHAnsi"/>
        </w:rPr>
        <w:t>的</w:t>
      </w:r>
      <w:r w:rsidRPr="00C1263E">
        <w:rPr>
          <w:rFonts w:asciiTheme="minorHAnsi" w:eastAsia="微软雅黑" w:hAnsiTheme="minorHAnsi"/>
        </w:rPr>
        <w:t>GLP-1</w:t>
      </w:r>
      <w:r w:rsidRPr="00C1263E">
        <w:rPr>
          <w:rFonts w:asciiTheme="minorHAnsi" w:eastAsia="微软雅黑" w:hAnsiTheme="minorHAnsi"/>
        </w:rPr>
        <w:t>受体激动剂的周制剂。该研究结果为患者长期安全</w:t>
      </w:r>
      <w:r w:rsidRPr="00C1263E">
        <w:rPr>
          <w:rFonts w:asciiTheme="minorHAnsi" w:eastAsia="微软雅黑" w:hAnsiTheme="minorHAnsi" w:hint="eastAsia"/>
        </w:rPr>
        <w:t>性</w:t>
      </w:r>
      <w:r w:rsidRPr="00C1263E">
        <w:rPr>
          <w:rFonts w:asciiTheme="minorHAnsi" w:eastAsia="微软雅黑" w:hAnsiTheme="minorHAnsi"/>
        </w:rPr>
        <w:t>使用</w:t>
      </w:r>
      <w:r w:rsidR="001135AB" w:rsidRPr="00C1263E">
        <w:rPr>
          <w:rFonts w:asciiTheme="minorHAnsi" w:eastAsia="微软雅黑" w:hAnsiTheme="minorHAnsi"/>
        </w:rPr>
        <w:t>艾塞那</w:t>
      </w:r>
      <w:proofErr w:type="gramStart"/>
      <w:r w:rsidR="001135AB" w:rsidRPr="00C1263E">
        <w:rPr>
          <w:rFonts w:asciiTheme="minorHAnsi" w:eastAsia="微软雅黑" w:hAnsiTheme="minorHAnsi"/>
        </w:rPr>
        <w:t>肽</w:t>
      </w:r>
      <w:proofErr w:type="gramEnd"/>
      <w:r w:rsidR="001135AB" w:rsidRPr="00C1263E">
        <w:rPr>
          <w:rFonts w:asciiTheme="minorHAnsi" w:eastAsia="微软雅黑" w:hAnsiTheme="minorHAnsi"/>
        </w:rPr>
        <w:t>微球</w:t>
      </w:r>
      <w:r w:rsidRPr="00C1263E">
        <w:rPr>
          <w:rFonts w:asciiTheme="minorHAnsi" w:eastAsia="微软雅黑" w:hAnsiTheme="minorHAnsi"/>
        </w:rPr>
        <w:t>控制血糖提供了保证。</w:t>
      </w:r>
      <w:r w:rsidRPr="00C1263E">
        <w:rPr>
          <w:rFonts w:asciiTheme="minorHAnsi" w:eastAsia="微软雅黑" w:hAnsiTheme="minorHAnsi" w:hint="eastAsia"/>
        </w:rPr>
        <w:t>”</w:t>
      </w:r>
    </w:p>
    <w:p w:rsidR="00CD492D" w:rsidRDefault="00056EC9" w:rsidP="00CD492D">
      <w:pPr>
        <w:ind w:firstLineChars="200" w:firstLine="420"/>
        <w:rPr>
          <w:rFonts w:asciiTheme="minorHAnsi" w:eastAsia="微软雅黑" w:hAnsiTheme="minorHAnsi"/>
        </w:rPr>
      </w:pPr>
      <w:r>
        <w:rPr>
          <w:rFonts w:asciiTheme="minorHAnsi" w:eastAsia="微软雅黑" w:hAnsiTheme="minorHAnsi"/>
        </w:rPr>
        <w:t>2016</w:t>
      </w:r>
      <w:r>
        <w:rPr>
          <w:rFonts w:asciiTheme="minorHAnsi" w:eastAsia="微软雅黑" w:hAnsiTheme="minorHAnsi" w:hint="eastAsia"/>
        </w:rPr>
        <w:t>年，阿斯利康与三生</w:t>
      </w:r>
      <w:r>
        <w:rPr>
          <w:rFonts w:asciiTheme="minorHAnsi" w:eastAsia="微软雅黑" w:hAnsiTheme="minorHAnsi" w:hint="eastAsia"/>
          <w:szCs w:val="21"/>
        </w:rPr>
        <w:t>制药</w:t>
      </w:r>
      <w:r w:rsidR="003929AA">
        <w:rPr>
          <w:rFonts w:asciiTheme="minorHAnsi" w:eastAsia="微软雅黑" w:hAnsiTheme="minorHAnsi" w:hint="eastAsia"/>
          <w:szCs w:val="21"/>
        </w:rPr>
        <w:t>进行战略合作</w:t>
      </w:r>
      <w:r>
        <w:rPr>
          <w:rFonts w:asciiTheme="minorHAnsi" w:eastAsia="微软雅黑" w:hAnsiTheme="minorHAnsi" w:hint="eastAsia"/>
          <w:szCs w:val="21"/>
        </w:rPr>
        <w:t>，</w:t>
      </w:r>
      <w:r>
        <w:rPr>
          <w:rFonts w:asciiTheme="minorHAnsi" w:eastAsia="微软雅黑" w:hAnsiTheme="minorHAnsi"/>
        </w:rPr>
        <w:t>三生</w:t>
      </w:r>
      <w:r>
        <w:rPr>
          <w:rFonts w:asciiTheme="minorHAnsi" w:eastAsia="微软雅黑" w:hAnsiTheme="minorHAnsi"/>
          <w:szCs w:val="21"/>
        </w:rPr>
        <w:t>制药</w:t>
      </w:r>
      <w:r>
        <w:rPr>
          <w:rFonts w:asciiTheme="minorHAnsi" w:eastAsia="微软雅黑" w:hAnsiTheme="minorHAnsi" w:hint="eastAsia"/>
          <w:szCs w:val="21"/>
        </w:rPr>
        <w:t>拥有</w:t>
      </w:r>
      <w:r w:rsidR="00824DA8">
        <w:rPr>
          <w:rFonts w:asciiTheme="minorHAnsi" w:eastAsia="微软雅黑" w:hAnsiTheme="minorHAnsi"/>
        </w:rPr>
        <w:t>百</w:t>
      </w:r>
      <w:proofErr w:type="gramStart"/>
      <w:r w:rsidR="00824DA8">
        <w:rPr>
          <w:rFonts w:asciiTheme="minorHAnsi" w:eastAsia="微软雅黑" w:hAnsiTheme="minorHAnsi" w:hint="eastAsia"/>
        </w:rPr>
        <w:t>泌</w:t>
      </w:r>
      <w:proofErr w:type="gramEnd"/>
      <w:r w:rsidR="00824DA8">
        <w:rPr>
          <w:rFonts w:asciiTheme="minorHAnsi" w:eastAsia="微软雅黑" w:hAnsiTheme="minorHAnsi" w:hint="eastAsia"/>
        </w:rPr>
        <w:t>达</w:t>
      </w:r>
      <w:r w:rsidR="00824DA8">
        <w:rPr>
          <w:rFonts w:asciiTheme="minorHAnsi" w:eastAsia="微软雅黑" w:hAnsiTheme="minorHAnsi"/>
        </w:rPr>
        <w:t>®</w:t>
      </w:r>
      <w:r w:rsidR="00824DA8">
        <w:rPr>
          <w:rFonts w:asciiTheme="minorHAnsi" w:eastAsia="微软雅黑" w:hAnsiTheme="minorHAnsi" w:hint="eastAsia"/>
        </w:rPr>
        <w:t>和</w:t>
      </w:r>
      <w:r w:rsidR="00824DA8">
        <w:rPr>
          <w:rFonts w:asciiTheme="minorHAnsi" w:eastAsia="微软雅黑" w:hAnsiTheme="minorHAnsi"/>
        </w:rPr>
        <w:t>百达扬</w:t>
      </w:r>
      <w:r w:rsidR="00824DA8">
        <w:rPr>
          <w:rFonts w:asciiTheme="minorHAnsi" w:eastAsia="微软雅黑" w:hAnsiTheme="minorHAnsi"/>
        </w:rPr>
        <w:t>®</w:t>
      </w:r>
      <w:r>
        <w:rPr>
          <w:rFonts w:asciiTheme="minorHAnsi" w:eastAsia="微软雅黑" w:hAnsiTheme="minorHAnsi" w:hint="eastAsia"/>
          <w:szCs w:val="21"/>
        </w:rPr>
        <w:t>的中国独家商业权</w:t>
      </w:r>
      <w:r>
        <w:rPr>
          <w:rFonts w:asciiTheme="minorHAnsi" w:eastAsia="微软雅黑" w:hAnsiTheme="minorHAnsi" w:hint="eastAsia"/>
        </w:rPr>
        <w:t>。</w:t>
      </w:r>
      <w:r w:rsidR="00CD492D">
        <w:rPr>
          <w:rFonts w:asciiTheme="minorHAnsi" w:eastAsia="微软雅黑" w:hAnsiTheme="minorHAnsi" w:hint="eastAsia"/>
        </w:rPr>
        <w:t>阿斯利康全球执行副总裁，亚太区及中国总裁王磊先生表示：“</w:t>
      </w:r>
      <w:r w:rsidR="003A4DBD">
        <w:rPr>
          <w:rFonts w:ascii="微软雅黑" w:eastAsia="微软雅黑" w:hAnsi="微软雅黑" w:cstheme="minorBidi" w:hint="eastAsia"/>
        </w:rPr>
        <w:t>中国的糖尿病患病率正在快速上升</w:t>
      </w:r>
      <w:r w:rsidR="00CD492D">
        <w:rPr>
          <w:rFonts w:ascii="微软雅黑" w:eastAsia="微软雅黑" w:hAnsi="微软雅黑" w:cstheme="minorBidi" w:hint="eastAsia"/>
        </w:rPr>
        <w:t>，</w:t>
      </w:r>
      <w:r w:rsidR="003A4DBD">
        <w:rPr>
          <w:rFonts w:ascii="微软雅黑" w:eastAsia="微软雅黑" w:hAnsi="微软雅黑" w:cstheme="minorBidi" w:hint="eastAsia"/>
        </w:rPr>
        <w:t>据估计目前有1.14亿患者。</w:t>
      </w:r>
      <w:r w:rsidR="00A110F8">
        <w:rPr>
          <w:rFonts w:ascii="微软雅黑" w:eastAsia="微软雅黑" w:hAnsi="微软雅黑" w:cstheme="minorBidi" w:hint="eastAsia"/>
        </w:rPr>
        <w:t>作为一家以研发创新药物服务患者的公司，我们很高兴</w:t>
      </w:r>
      <w:r w:rsidR="002D5996">
        <w:rPr>
          <w:rFonts w:ascii="微软雅黑" w:eastAsia="微软雅黑" w:hAnsi="微软雅黑" w:cstheme="minorBidi" w:hint="eastAsia"/>
        </w:rPr>
        <w:t>能将</w:t>
      </w:r>
      <w:r w:rsidR="002D599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艾塞那</w:t>
      </w:r>
      <w:proofErr w:type="gramStart"/>
      <w:r w:rsidR="002D599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肽</w:t>
      </w:r>
      <w:proofErr w:type="gramEnd"/>
      <w:r w:rsidR="002D5996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微球</w:t>
      </w:r>
      <w:r w:rsidR="002D5996">
        <w:rPr>
          <w:rFonts w:ascii="微软雅黑" w:eastAsia="微软雅黑" w:hAnsi="微软雅黑" w:cstheme="minorBidi" w:hint="eastAsia"/>
        </w:rPr>
        <w:t>作为第一个也是唯一</w:t>
      </w:r>
      <w:proofErr w:type="gramStart"/>
      <w:r w:rsidR="002D5996">
        <w:rPr>
          <w:rFonts w:ascii="微软雅黑" w:eastAsia="微软雅黑" w:hAnsi="微软雅黑" w:cstheme="minorBidi" w:hint="eastAsia"/>
        </w:rPr>
        <w:t>一个</w:t>
      </w:r>
      <w:proofErr w:type="gramEnd"/>
      <w:r w:rsidR="002D5996">
        <w:rPr>
          <w:rFonts w:ascii="微软雅黑" w:eastAsia="微软雅黑" w:hAnsi="微软雅黑" w:cstheme="minorBidi" w:hint="eastAsia"/>
        </w:rPr>
        <w:t>一</w:t>
      </w:r>
      <w:r w:rsidR="002D5996" w:rsidRPr="002D5996">
        <w:rPr>
          <w:rFonts w:ascii="微软雅黑" w:eastAsia="微软雅黑" w:hAnsi="微软雅黑" w:cstheme="minorBidi" w:hint="eastAsia"/>
        </w:rPr>
        <w:t>周一次的注射用药品</w:t>
      </w:r>
      <w:r w:rsidR="002D5996">
        <w:rPr>
          <w:rFonts w:ascii="微软雅黑" w:eastAsia="微软雅黑" w:hAnsi="微软雅黑" w:cstheme="minorBidi" w:hint="eastAsia"/>
        </w:rPr>
        <w:t>带到市场</w:t>
      </w:r>
      <w:r w:rsidR="00A110F8">
        <w:rPr>
          <w:rFonts w:asciiTheme="minorHAnsi" w:eastAsia="微软雅黑" w:hAnsiTheme="minorHAnsi" w:hint="eastAsia"/>
        </w:rPr>
        <w:t>，来满足中国</w:t>
      </w:r>
      <w:r w:rsidR="00A110F8">
        <w:rPr>
          <w:rFonts w:asciiTheme="minorHAnsi" w:eastAsia="微软雅黑" w:hAnsiTheme="minorHAnsi" w:hint="eastAsia"/>
        </w:rPr>
        <w:t>2</w:t>
      </w:r>
      <w:r w:rsidR="00A110F8">
        <w:rPr>
          <w:rFonts w:asciiTheme="minorHAnsi" w:eastAsia="微软雅黑" w:hAnsiTheme="minorHAnsi" w:hint="eastAsia"/>
        </w:rPr>
        <w:t>型糖尿病患者未被满足的需求。</w:t>
      </w:r>
      <w:r w:rsidR="00CD492D">
        <w:rPr>
          <w:rFonts w:asciiTheme="minorHAnsi" w:eastAsia="微软雅黑" w:hAnsiTheme="minorHAnsi"/>
        </w:rPr>
        <w:t>”</w:t>
      </w:r>
    </w:p>
    <w:p w:rsidR="001A203F" w:rsidRPr="00C1263E" w:rsidRDefault="00056EC9" w:rsidP="00C1263E">
      <w:pPr>
        <w:ind w:firstLineChars="200" w:firstLine="420"/>
        <w:rPr>
          <w:rFonts w:asciiTheme="minorHAnsi" w:eastAsia="微软雅黑" w:hAnsiTheme="minorHAnsi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lastRenderedPageBreak/>
        <w:t>三生制药集团董事长娄竞博士表示：“我们很高兴能看到</w:t>
      </w:r>
      <w:r w:rsidR="00D925B7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艾塞那</w:t>
      </w:r>
      <w:proofErr w:type="gramStart"/>
      <w:r w:rsidR="00D925B7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肽</w:t>
      </w:r>
      <w:proofErr w:type="gramEnd"/>
      <w:r w:rsidR="00D925B7"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微球</w:t>
      </w: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一周一次的全新机制降糖药获得批准，将给中国广大的糖尿病患者带来更多选择，这也是三生制药和阿斯利康战略合作的一个重要里程碑。相信通过三生制药的优秀营销团队和在本土市场的丰富经验，能将这款产品带给更多的糖尿病患者，帮助他们进行更有效的糖尿病管理，提升其健康水平和生活质量。”</w:t>
      </w:r>
    </w:p>
    <w:p w:rsidR="001A203F" w:rsidRDefault="001A203F">
      <w:pPr>
        <w:ind w:firstLineChars="200" w:firstLine="420"/>
        <w:rPr>
          <w:rFonts w:asciiTheme="minorHAnsi" w:eastAsia="微软雅黑" w:hAnsiTheme="minorHAnsi"/>
        </w:rPr>
      </w:pPr>
    </w:p>
    <w:p w:rsidR="001A203F" w:rsidRDefault="00056EC9">
      <w:pPr>
        <w:jc w:val="center"/>
        <w:rPr>
          <w:rFonts w:asciiTheme="minorHAnsi" w:eastAsia="微软雅黑" w:hAnsiTheme="minorHAnsi"/>
        </w:rPr>
      </w:pPr>
      <w:r>
        <w:rPr>
          <w:rFonts w:asciiTheme="minorHAnsi" w:eastAsia="微软雅黑" w:hAnsiTheme="minorHAnsi"/>
        </w:rPr>
        <w:t>***</w:t>
      </w:r>
      <w:r>
        <w:rPr>
          <w:rFonts w:asciiTheme="minorHAnsi" w:eastAsia="微软雅黑" w:hAnsiTheme="minorHAnsi"/>
        </w:rPr>
        <w:t>完</w:t>
      </w:r>
      <w:r>
        <w:rPr>
          <w:rFonts w:asciiTheme="minorHAnsi" w:eastAsia="微软雅黑" w:hAnsiTheme="minorHAnsi"/>
        </w:rPr>
        <w:t>***</w:t>
      </w:r>
    </w:p>
    <w:p w:rsidR="001A203F" w:rsidRDefault="001A203F">
      <w:pPr>
        <w:rPr>
          <w:rFonts w:asciiTheme="minorHAnsi" w:eastAsia="微软雅黑" w:hAnsiTheme="minorHAnsi"/>
          <w:b/>
        </w:rPr>
      </w:pPr>
    </w:p>
    <w:p w:rsidR="001A203F" w:rsidRDefault="00056EC9">
      <w:pPr>
        <w:widowControl/>
        <w:jc w:val="left"/>
        <w:rPr>
          <w:rFonts w:asciiTheme="minorHAnsi" w:eastAsia="微软雅黑" w:hAnsiTheme="minorHAnsi"/>
          <w:b/>
        </w:rPr>
      </w:pPr>
      <w:r>
        <w:rPr>
          <w:rFonts w:asciiTheme="minorHAnsi" w:eastAsia="微软雅黑" w:hAnsiTheme="minorHAnsi"/>
          <w:b/>
        </w:rPr>
        <w:t>关于百达扬</w:t>
      </w:r>
      <w:r>
        <w:rPr>
          <w:rFonts w:asciiTheme="minorHAnsi" w:eastAsia="微软雅黑" w:hAnsiTheme="minorHAnsi"/>
          <w:vertAlign w:val="superscript"/>
        </w:rPr>
        <w:t>®</w:t>
      </w:r>
    </w:p>
    <w:p w:rsidR="001A203F" w:rsidRDefault="00056EC9">
      <w:pPr>
        <w:rPr>
          <w:rFonts w:asciiTheme="minorHAnsi" w:eastAsia="微软雅黑" w:hAnsiTheme="minorHAnsi"/>
        </w:rPr>
      </w:pPr>
      <w:r>
        <w:rPr>
          <w:rFonts w:asciiTheme="minorHAnsi" w:eastAsia="微软雅黑" w:hAnsiTheme="minorHAnsi"/>
        </w:rPr>
        <w:t>百达扬</w:t>
      </w:r>
      <w:r>
        <w:rPr>
          <w:rFonts w:asciiTheme="minorHAnsi" w:eastAsia="微软雅黑" w:hAnsiTheme="minorHAnsi"/>
          <w:vertAlign w:val="superscript"/>
        </w:rPr>
        <w:t>®</w:t>
      </w:r>
      <w:r>
        <w:rPr>
          <w:rFonts w:asciiTheme="minorHAnsi" w:eastAsia="微软雅黑" w:hAnsiTheme="minorHAnsi"/>
        </w:rPr>
        <w:t>（</w:t>
      </w:r>
      <w:proofErr w:type="spellStart"/>
      <w:r>
        <w:rPr>
          <w:rFonts w:asciiTheme="minorHAnsi" w:eastAsia="微软雅黑" w:hAnsiTheme="minorHAnsi"/>
        </w:rPr>
        <w:t>Bydureon</w:t>
      </w:r>
      <w:proofErr w:type="spellEnd"/>
      <w:r>
        <w:rPr>
          <w:rFonts w:asciiTheme="minorHAnsi" w:eastAsia="微软雅黑" w:hAnsiTheme="minorHAnsi"/>
          <w:vertAlign w:val="superscript"/>
        </w:rPr>
        <w:t>®</w:t>
      </w:r>
      <w:r>
        <w:rPr>
          <w:rFonts w:asciiTheme="minorHAnsi" w:eastAsia="微软雅黑" w:hAnsiTheme="minorHAnsi"/>
        </w:rPr>
        <w:t>，通用名：注射用艾塞那</w:t>
      </w:r>
      <w:proofErr w:type="gramStart"/>
      <w:r>
        <w:rPr>
          <w:rFonts w:asciiTheme="minorHAnsi" w:eastAsia="微软雅黑" w:hAnsiTheme="minorHAnsi"/>
        </w:rPr>
        <w:t>肽</w:t>
      </w:r>
      <w:proofErr w:type="gramEnd"/>
      <w:r w:rsidRPr="00CD492D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微球）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是中国首个上市的一周一次的降糖药，</w:t>
      </w:r>
      <w:bookmarkStart w:id="16" w:name="OLE_LINK27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用于改善</w:t>
      </w:r>
      <w:r w:rsidR="00CD492D"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2</w:t>
      </w:r>
      <w:bookmarkEnd w:id="16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型糖尿病患者的血糖控制，适用于单用二甲双</w:t>
      </w:r>
      <w:proofErr w:type="gramStart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胍</w:t>
      </w:r>
      <w:proofErr w:type="gramEnd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、</w:t>
      </w:r>
      <w:proofErr w:type="gramStart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磺脲</w:t>
      </w:r>
      <w:proofErr w:type="gramEnd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类以及二甲双</w:t>
      </w:r>
      <w:proofErr w:type="gramStart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胍</w:t>
      </w:r>
      <w:proofErr w:type="gramEnd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合用</w:t>
      </w:r>
      <w:proofErr w:type="gramStart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磺脲</w:t>
      </w:r>
      <w:proofErr w:type="gramEnd"/>
      <w:r w:rsidR="00CD492D" w:rsidRPr="00C1263E">
        <w:rPr>
          <w:rFonts w:asciiTheme="minorHAnsi" w:eastAsia="微软雅黑" w:hAnsiTheme="minorHAnsi" w:hint="eastAsia"/>
          <w:color w:val="000000"/>
          <w:szCs w:val="21"/>
          <w:shd w:val="clear" w:color="auto" w:fill="FFFFFF"/>
        </w:rPr>
        <w:t>类血糖仍控制不佳的患者。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该药物通过微球技术使</w:t>
      </w:r>
      <w:r w:rsidRPr="00C1263E">
        <w:rPr>
          <w:rFonts w:asciiTheme="minorHAnsi" w:eastAsia="微软雅黑" w:hAnsiTheme="minorHAnsi"/>
        </w:rPr>
        <w:t>胰高血糖素样肽</w:t>
      </w:r>
      <w:r w:rsidRPr="00C1263E">
        <w:rPr>
          <w:rFonts w:asciiTheme="minorHAnsi" w:eastAsia="微软雅黑" w:hAnsiTheme="minorHAnsi"/>
        </w:rPr>
        <w:t>-1</w:t>
      </w:r>
      <w:r w:rsidRPr="00C1263E">
        <w:rPr>
          <w:rFonts w:asciiTheme="minorHAnsi" w:eastAsia="微软雅黑" w:hAnsiTheme="minorHAnsi"/>
        </w:rPr>
        <w:t>（</w:t>
      </w:r>
      <w:r w:rsidRPr="00C1263E">
        <w:rPr>
          <w:rFonts w:asciiTheme="minorHAnsi" w:eastAsia="微软雅黑" w:hAnsiTheme="minorHAnsi"/>
        </w:rPr>
        <w:t>GLP-1</w:t>
      </w:r>
      <w:r w:rsidRPr="00C1263E">
        <w:rPr>
          <w:rFonts w:asciiTheme="minorHAnsi" w:eastAsia="微软雅黑" w:hAnsiTheme="minorHAnsi"/>
        </w:rPr>
        <w:t>）受体激动剂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艾塞那肽在体内缓慢释放发挥长效的降糖作用，一周一次皮下注射即可，每次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2mg</w:t>
      </w:r>
      <w:r w:rsidRPr="00C1263E">
        <w:rPr>
          <w:rFonts w:asciiTheme="minorHAnsi" w:eastAsia="微软雅黑" w:hAnsiTheme="minorHAnsi"/>
          <w:color w:val="000000"/>
          <w:szCs w:val="21"/>
          <w:shd w:val="clear" w:color="auto" w:fill="FFFFFF"/>
        </w:rPr>
        <w:t>。患者可在一天的任何时间给药，无论进餐与否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。</w:t>
      </w:r>
      <w:r>
        <w:t>DURATION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系列研究证明百达扬</w:t>
      </w:r>
      <w:r>
        <w:rPr>
          <w:rFonts w:asciiTheme="minorHAnsi" w:eastAsia="微软雅黑" w:hAnsiTheme="minorHAnsi"/>
          <w:vertAlign w:val="superscript"/>
        </w:rPr>
        <w:t>®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一周一次可降低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HbA1c 1.3%-1.9%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，可降体重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2.0kg-3.7kg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。百达扬</w:t>
      </w:r>
      <w:r>
        <w:rPr>
          <w:rFonts w:asciiTheme="minorHAnsi" w:eastAsia="微软雅黑" w:hAnsiTheme="minorHAnsi"/>
          <w:vertAlign w:val="superscript"/>
        </w:rPr>
        <w:t>®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的上市，将为中国糖尿病患者提供更好的药物选择。</w:t>
      </w:r>
    </w:p>
    <w:p w:rsidR="001A203F" w:rsidRDefault="001A203F">
      <w:pPr>
        <w:rPr>
          <w:rFonts w:asciiTheme="minorHAnsi" w:eastAsia="微软雅黑" w:hAnsiTheme="minorHAnsi"/>
        </w:rPr>
      </w:pPr>
    </w:p>
    <w:p w:rsidR="001A203F" w:rsidRDefault="00056EC9">
      <w:pPr>
        <w:spacing w:beforeLines="50" w:before="156"/>
        <w:ind w:right="720"/>
        <w:rPr>
          <w:rFonts w:asciiTheme="minorHAnsi" w:eastAsia="微软雅黑" w:hAnsiTheme="minorHAnsi"/>
          <w:b/>
        </w:rPr>
      </w:pPr>
      <w:r>
        <w:rPr>
          <w:rFonts w:asciiTheme="minorHAnsi" w:eastAsia="微软雅黑" w:hAnsiTheme="minorHAnsi"/>
          <w:b/>
        </w:rPr>
        <w:t>关于三生制药集团</w:t>
      </w:r>
    </w:p>
    <w:p w:rsidR="001A203F" w:rsidRDefault="00056EC9">
      <w:pPr>
        <w:rPr>
          <w:rFonts w:asciiTheme="minorHAnsi" w:eastAsia="微软雅黑" w:hAnsiTheme="minorHAnsi"/>
          <w:color w:val="000000"/>
          <w:szCs w:val="21"/>
          <w:shd w:val="clear" w:color="auto" w:fill="FFFFFF"/>
        </w:rPr>
      </w:pP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三生制药集团是一家集研发、生产和销售为一体的生物制药领军企业，致力于以高品质的药品提高患者生存质量，为人类健康造福。目前，集团拥有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80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余项国家发明专利授权，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30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余种上市产品，覆盖肿瘤、自身免疫、肾病、代谢及皮肤科等治疗领域。集团拥有抗体药物国家工程研究中心以及生物药和</w:t>
      </w:r>
      <w:proofErr w:type="gramStart"/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化药双平台</w:t>
      </w:r>
      <w:proofErr w:type="gramEnd"/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的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4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大研发中心，共有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25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种在</w:t>
      </w:r>
      <w:proofErr w:type="gramStart"/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研</w:t>
      </w:r>
      <w:proofErr w:type="gramEnd"/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产品，其中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16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种作为国家一类新药正在研发，并拥有符合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GMP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标准的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6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大生产基地。未来，三生制药集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lastRenderedPageBreak/>
        <w:t>团将继续秉持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“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珍爱生命、关注生存、创造生活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”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>的理念，全力打造全球领先的中国生物制药企业。</w:t>
      </w:r>
      <w:r>
        <w:rPr>
          <w:rFonts w:asciiTheme="minorHAnsi" w:eastAsia="微软雅黑" w:hAnsiTheme="minorHAnsi"/>
          <w:color w:val="000000"/>
          <w:szCs w:val="21"/>
          <w:shd w:val="clear" w:color="auto" w:fill="FFFFFF"/>
        </w:rPr>
        <w:t xml:space="preserve"> </w:t>
      </w:r>
    </w:p>
    <w:p w:rsidR="001A203F" w:rsidRDefault="001A203F">
      <w:pPr>
        <w:rPr>
          <w:rFonts w:asciiTheme="minorHAnsi" w:eastAsia="微软雅黑" w:hAnsiTheme="minorHAnsi"/>
        </w:rPr>
      </w:pPr>
    </w:p>
    <w:p w:rsidR="001A203F" w:rsidRDefault="00056EC9">
      <w:pPr>
        <w:rPr>
          <w:rFonts w:asciiTheme="minorHAnsi" w:eastAsia="微软雅黑" w:hAnsiTheme="minorHAnsi"/>
        </w:rPr>
      </w:pPr>
      <w:r>
        <w:rPr>
          <w:rFonts w:asciiTheme="minorHAnsi" w:eastAsia="微软雅黑" w:hAnsiTheme="minorHAnsi"/>
        </w:rPr>
        <w:t>参考资料：</w:t>
      </w:r>
    </w:p>
    <w:p w:rsidR="001A203F" w:rsidRDefault="00056EC9">
      <w:pPr>
        <w:pStyle w:val="1"/>
        <w:spacing w:before="0" w:beforeAutospacing="0" w:after="0" w:afterAutospacing="0"/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</w:pPr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1</w:t>
      </w:r>
      <w:bookmarkStart w:id="17" w:name="OLE_LINK16"/>
      <w:bookmarkStart w:id="18" w:name="OLE_LINK17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. Prevalence and control of diabetes in Chinese adults. </w:t>
      </w:r>
      <w:hyperlink r:id="rId9" w:tooltip="JAMA." w:history="1">
        <w:proofErr w:type="gramStart"/>
        <w:r>
          <w:rPr>
            <w:rFonts w:asciiTheme="minorHAnsi" w:eastAsia="微软雅黑" w:hAnsiTheme="minorHAnsi"/>
            <w:b w:val="0"/>
            <w:bCs w:val="0"/>
            <w:kern w:val="2"/>
            <w:sz w:val="16"/>
            <w:szCs w:val="16"/>
          </w:rPr>
          <w:t>JAMA.</w:t>
        </w:r>
        <w:proofErr w:type="gramEnd"/>
      </w:hyperlink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 2013 Sep 4</w:t>
      </w:r>
      <w:proofErr w:type="gram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;310</w:t>
      </w:r>
      <w:proofErr w:type="gram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(9):948-59</w:t>
      </w:r>
      <w:bookmarkEnd w:id="17"/>
      <w:bookmarkEnd w:id="18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. </w:t>
      </w:r>
    </w:p>
    <w:p w:rsidR="001A203F" w:rsidRDefault="00056EC9">
      <w:pPr>
        <w:pStyle w:val="1"/>
        <w:spacing w:before="0" w:beforeAutospacing="0" w:after="0" w:afterAutospacing="0"/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</w:pPr>
      <w:proofErr w:type="gram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2. E. Hardy, et al. Presented at 2017 EASD meeting.</w:t>
      </w:r>
      <w:proofErr w:type="gram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</w:t>
      </w:r>
      <w:proofErr w:type="gram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Oral Presentation -3.</w:t>
      </w:r>
      <w:proofErr w:type="gramEnd"/>
    </w:p>
    <w:p w:rsidR="001A203F" w:rsidRDefault="00056EC9">
      <w:pPr>
        <w:pStyle w:val="1"/>
        <w:spacing w:before="0" w:beforeAutospacing="0" w:after="0" w:afterAutospacing="0"/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</w:pPr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3. </w:t>
      </w:r>
      <w:hyperlink r:id="rId10" w:history="1">
        <w:r>
          <w:rPr>
            <w:rFonts w:asciiTheme="minorHAnsi" w:eastAsia="微软雅黑" w:hAnsiTheme="minorHAnsi"/>
            <w:b w:val="0"/>
            <w:bCs w:val="0"/>
            <w:kern w:val="2"/>
            <w:sz w:val="16"/>
            <w:szCs w:val="16"/>
          </w:rPr>
          <w:t>Efficacy and safety of exenatide once-weekly vs exenatide twice-daily in Asian patients with type 2 diabetes mellitus.</w:t>
        </w:r>
      </w:hyperlink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</w:t>
      </w:r>
      <w:proofErr w:type="spell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Ji</w:t>
      </w:r>
      <w:proofErr w:type="spell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L, </w:t>
      </w:r>
      <w:proofErr w:type="spell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Onishi</w:t>
      </w:r>
      <w:proofErr w:type="spell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Y, </w:t>
      </w:r>
      <w:proofErr w:type="spell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Ahn</w:t>
      </w:r>
      <w:proofErr w:type="spell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CW, Agarwal P, Chou CW, Haber H, </w:t>
      </w:r>
      <w:proofErr w:type="spell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Guerrettaz</w:t>
      </w:r>
      <w:proofErr w:type="spell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K, Boardman MK. J Diabetes </w:t>
      </w:r>
      <w:proofErr w:type="spell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Investig</w:t>
      </w:r>
      <w:proofErr w:type="spell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. 2013 Jan 29</w:t>
      </w:r>
      <w:proofErr w:type="gram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;4</w:t>
      </w:r>
      <w:proofErr w:type="gram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(1):53-61. </w:t>
      </w:r>
      <w:proofErr w:type="spellStart"/>
      <w:proofErr w:type="gram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doi</w:t>
      </w:r>
      <w:proofErr w:type="spellEnd"/>
      <w:proofErr w:type="gram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: 10.1111/j.2040-1124.2012.00238.x. </w:t>
      </w:r>
      <w:proofErr w:type="spellStart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Epub</w:t>
      </w:r>
      <w:proofErr w:type="spellEnd"/>
      <w:r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2012 Sep 14.PMID:24843631 </w:t>
      </w:r>
    </w:p>
    <w:p w:rsidR="001A203F" w:rsidRPr="0035030D" w:rsidRDefault="0035030D">
      <w:pPr>
        <w:pStyle w:val="1"/>
        <w:spacing w:before="0" w:beforeAutospacing="0" w:after="0" w:afterAutospacing="0"/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</w:pPr>
      <w:r>
        <w:rPr>
          <w:rFonts w:asciiTheme="minorHAnsi" w:eastAsia="微软雅黑" w:hAnsiTheme="minorHAnsi" w:hint="eastAsia"/>
          <w:b w:val="0"/>
          <w:bCs w:val="0"/>
          <w:kern w:val="2"/>
          <w:sz w:val="16"/>
          <w:szCs w:val="16"/>
        </w:rPr>
        <w:t>4</w:t>
      </w:r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. </w:t>
      </w:r>
      <w:hyperlink r:id="rId11" w:history="1">
        <w:r w:rsidR="00056EC9">
          <w:rPr>
            <w:rFonts w:asciiTheme="minorHAnsi" w:eastAsia="微软雅黑" w:hAnsiTheme="minorHAnsi"/>
            <w:b w:val="0"/>
            <w:bCs w:val="0"/>
            <w:kern w:val="2"/>
            <w:sz w:val="16"/>
            <w:szCs w:val="16"/>
          </w:rPr>
          <w:t>Effects of Once-Weekly Exenatide on Cardiovascular Outcomes in Type 2 Diabetes.</w:t>
        </w:r>
      </w:hyperlink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Holman RR, Bethel MA,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Mentz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RJ, Thompson VP,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Lokhnygina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Y,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Buse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JB, Chan JC, Choi J,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Gustavson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SM, Iqbal N,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Maggioni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AP,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Marso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SP,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Öhman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P,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Pagidipati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NJ,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Poulter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N, Ramachandran A,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Zinman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B, Hernandez AF; EXSCEL Study Group. N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Engl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J Med. 2017 Sep 28</w:t>
      </w:r>
      <w:proofErr w:type="gram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;377</w:t>
      </w:r>
      <w:proofErr w:type="gram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(13):1228-1239. </w:t>
      </w:r>
      <w:proofErr w:type="spellStart"/>
      <w:proofErr w:type="gram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doi</w:t>
      </w:r>
      <w:proofErr w:type="spellEnd"/>
      <w:proofErr w:type="gram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: 10.1056/NEJMoa1612917. </w:t>
      </w:r>
      <w:proofErr w:type="spellStart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>Epub</w:t>
      </w:r>
      <w:proofErr w:type="spellEnd"/>
      <w:r w:rsidR="00056EC9">
        <w:rPr>
          <w:rFonts w:asciiTheme="minorHAnsi" w:eastAsia="微软雅黑" w:hAnsiTheme="minorHAnsi"/>
          <w:b w:val="0"/>
          <w:bCs w:val="0"/>
          <w:kern w:val="2"/>
          <w:sz w:val="16"/>
          <w:szCs w:val="16"/>
        </w:rPr>
        <w:t xml:space="preserve"> 2017 Sep 14.</w:t>
      </w:r>
    </w:p>
    <w:sectPr w:rsidR="001A203F" w:rsidRPr="0035030D">
      <w:headerReference w:type="default" r:id="rId12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C936B46" w15:done="0"/>
  <w15:commentEx w15:paraId="77DD60A8" w15:paraIdParent="4C936B46" w15:done="0"/>
  <w15:commentEx w15:paraId="563F6EB9" w15:done="0"/>
  <w15:commentEx w15:paraId="4B108060" w15:done="0"/>
  <w15:commentEx w15:paraId="79FB395B" w15:done="0"/>
  <w15:commentEx w15:paraId="15BD63E4" w15:done="0"/>
  <w15:commentEx w15:paraId="5F39AA77" w15:done="0"/>
  <w15:commentEx w15:paraId="14F941EA" w15:done="0"/>
  <w15:commentEx w15:paraId="3678F903" w15:done="0"/>
  <w15:commentEx w15:paraId="03635CA8" w15:done="0"/>
  <w15:commentEx w15:paraId="2F917999" w15:done="0"/>
  <w15:commentEx w15:paraId="3A365951" w15:done="0"/>
  <w15:commentEx w15:paraId="1988BAE3" w15:done="0"/>
  <w15:commentEx w15:paraId="692BF9FC" w15:done="0"/>
  <w15:commentEx w15:paraId="564E32CA" w15:done="0"/>
  <w15:commentEx w15:paraId="4A9EA3D2" w15:done="0"/>
  <w15:commentEx w15:paraId="25339950" w15:done="0"/>
  <w15:commentEx w15:paraId="20875F7F" w15:done="0"/>
  <w15:commentEx w15:paraId="2E9106A9" w15:done="0"/>
  <w15:commentEx w15:paraId="2D661F01" w15:done="0"/>
  <w15:commentEx w15:paraId="7F2DD2E2" w15:done="0"/>
  <w15:commentEx w15:paraId="20DFEA94" w15:done="0"/>
  <w15:commentEx w15:paraId="56B08EEC" w15:done="0"/>
  <w15:commentEx w15:paraId="7DEFFC20" w15:done="0"/>
  <w15:commentEx w15:paraId="7111097D" w15:done="0"/>
  <w15:commentEx w15:paraId="1DA0A58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27" w:rsidRDefault="00F91827"/>
  </w:endnote>
  <w:endnote w:type="continuationSeparator" w:id="0">
    <w:p w:rsidR="00F91827" w:rsidRDefault="00F91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27" w:rsidRDefault="00F91827"/>
  </w:footnote>
  <w:footnote w:type="continuationSeparator" w:id="0">
    <w:p w:rsidR="00F91827" w:rsidRDefault="00F9182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3F" w:rsidRDefault="00056EC9">
    <w:pPr>
      <w:pStyle w:val="a7"/>
      <w:ind w:right="90"/>
      <w:jc w:val="right"/>
    </w:pPr>
    <w:r>
      <w:rPr>
        <w:noProof/>
      </w:rPr>
      <w:drawing>
        <wp:inline distT="0" distB="0" distL="0" distR="0">
          <wp:extent cx="1056300" cy="357734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集团中英文全称横式组合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5791" cy="357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73C"/>
    <w:multiLevelType w:val="hybridMultilevel"/>
    <w:tmpl w:val="39A009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1DB47FE"/>
    <w:multiLevelType w:val="hybridMultilevel"/>
    <w:tmpl w:val="39E69900"/>
    <w:lvl w:ilvl="0" w:tplc="26CCC0F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, Emily">
    <w15:presenceInfo w15:providerId="AD" w15:userId="S-1-5-21-602162358-1682526488-725345543-203416"/>
  </w15:person>
  <w15:person w15:author="F">
    <w15:presenceInfo w15:providerId="None" w15:userId="F"/>
  </w15:person>
  <w15:person w15:author="Dong, Yun">
    <w15:presenceInfo w15:providerId="AD" w15:userId="S-1-5-21-602162358-1682526488-725345543-208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3F"/>
    <w:rsid w:val="00016803"/>
    <w:rsid w:val="00056EC9"/>
    <w:rsid w:val="001135AB"/>
    <w:rsid w:val="001242DF"/>
    <w:rsid w:val="001376D9"/>
    <w:rsid w:val="001A203F"/>
    <w:rsid w:val="001C4EF3"/>
    <w:rsid w:val="001D090B"/>
    <w:rsid w:val="002443AF"/>
    <w:rsid w:val="002D5996"/>
    <w:rsid w:val="002D7791"/>
    <w:rsid w:val="0035030D"/>
    <w:rsid w:val="003802F7"/>
    <w:rsid w:val="00390BDB"/>
    <w:rsid w:val="003929AA"/>
    <w:rsid w:val="003A4DBD"/>
    <w:rsid w:val="003B4BBA"/>
    <w:rsid w:val="003C7782"/>
    <w:rsid w:val="00556057"/>
    <w:rsid w:val="005948DB"/>
    <w:rsid w:val="005A0898"/>
    <w:rsid w:val="005E5D48"/>
    <w:rsid w:val="00655903"/>
    <w:rsid w:val="007054F9"/>
    <w:rsid w:val="0073009B"/>
    <w:rsid w:val="007C4B64"/>
    <w:rsid w:val="007D37C5"/>
    <w:rsid w:val="007D4EA6"/>
    <w:rsid w:val="00824DA8"/>
    <w:rsid w:val="008D4BE9"/>
    <w:rsid w:val="009017F5"/>
    <w:rsid w:val="009216E9"/>
    <w:rsid w:val="00991610"/>
    <w:rsid w:val="009C233B"/>
    <w:rsid w:val="00A110F8"/>
    <w:rsid w:val="00A51DDE"/>
    <w:rsid w:val="00A96E39"/>
    <w:rsid w:val="00B64B2C"/>
    <w:rsid w:val="00B96C02"/>
    <w:rsid w:val="00BB0D5C"/>
    <w:rsid w:val="00C1263E"/>
    <w:rsid w:val="00C346EB"/>
    <w:rsid w:val="00C643E2"/>
    <w:rsid w:val="00C97AE8"/>
    <w:rsid w:val="00CA1EEC"/>
    <w:rsid w:val="00CD492D"/>
    <w:rsid w:val="00CD68DD"/>
    <w:rsid w:val="00D04194"/>
    <w:rsid w:val="00D71D4E"/>
    <w:rsid w:val="00D82919"/>
    <w:rsid w:val="00D848AB"/>
    <w:rsid w:val="00D925B7"/>
    <w:rsid w:val="00DF5075"/>
    <w:rsid w:val="00DF7C87"/>
    <w:rsid w:val="00E32C9D"/>
    <w:rsid w:val="00EA0F78"/>
    <w:rsid w:val="00EC082E"/>
    <w:rsid w:val="00EF2E92"/>
    <w:rsid w:val="00F42A89"/>
    <w:rsid w:val="00F54138"/>
    <w:rsid w:val="00F91827"/>
    <w:rsid w:val="00FB2E3D"/>
    <w:rsid w:val="00FF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 w:val="0"/>
      <w:bCs w:val="0"/>
      <w:i w:val="0"/>
      <w:iCs w:val="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ast">
    <w:name w:val="las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Pr>
      <w:color w:val="000000"/>
      <w:u w:val="single"/>
    </w:rPr>
  </w:style>
  <w:style w:type="paragraph" w:styleId="a6">
    <w:name w:val="annotation text"/>
    <w:basedOn w:val="a"/>
    <w:link w:val="Char"/>
    <w:pPr>
      <w:widowControl/>
      <w:jc w:val="left"/>
    </w:pPr>
    <w:rPr>
      <w:kern w:val="0"/>
      <w:sz w:val="20"/>
      <w:szCs w:val="20"/>
      <w:lang w:val="en-GB" w:eastAsia="en-US"/>
    </w:rPr>
  </w:style>
  <w:style w:type="character" w:customStyle="1" w:styleId="Char">
    <w:name w:val="批注文字 Char"/>
    <w:basedOn w:val="a0"/>
    <w:link w:val="a6"/>
    <w:locked/>
    <w:rPr>
      <w:rFonts w:eastAsia="宋体"/>
      <w:lang w:val="en-GB" w:eastAsia="en-US" w:bidi="ar-SA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Pr>
      <w:kern w:val="2"/>
      <w:sz w:val="18"/>
      <w:szCs w:val="18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Pr>
      <w:kern w:val="2"/>
      <w:sz w:val="18"/>
      <w:szCs w:val="18"/>
    </w:rPr>
  </w:style>
  <w:style w:type="paragraph" w:styleId="a9">
    <w:name w:val="Body Text"/>
    <w:basedOn w:val="a"/>
    <w:link w:val="Char2"/>
    <w:uiPriority w:val="99"/>
    <w:pPr>
      <w:widowControl/>
      <w:jc w:val="left"/>
    </w:pPr>
    <w:rPr>
      <w:kern w:val="0"/>
      <w:sz w:val="24"/>
      <w:lang w:eastAsia="en-US"/>
    </w:rPr>
  </w:style>
  <w:style w:type="character" w:customStyle="1" w:styleId="Char2">
    <w:name w:val="正文文本 Char"/>
    <w:basedOn w:val="a0"/>
    <w:link w:val="a9"/>
    <w:uiPriority w:val="99"/>
    <w:rPr>
      <w:sz w:val="24"/>
      <w:szCs w:val="24"/>
      <w:lang w:eastAsia="en-US"/>
    </w:rPr>
  </w:style>
  <w:style w:type="paragraph" w:styleId="aa">
    <w:name w:val="Balloon Text"/>
    <w:basedOn w:val="a"/>
    <w:link w:val="Char3"/>
    <w:rPr>
      <w:sz w:val="18"/>
      <w:szCs w:val="18"/>
    </w:rPr>
  </w:style>
  <w:style w:type="character" w:customStyle="1" w:styleId="Char3">
    <w:name w:val="批注框文本 Char"/>
    <w:basedOn w:val="a0"/>
    <w:link w:val="aa"/>
    <w:rPr>
      <w:kern w:val="2"/>
      <w:sz w:val="18"/>
      <w:szCs w:val="18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annotation subject"/>
    <w:basedOn w:val="a6"/>
    <w:next w:val="a6"/>
    <w:link w:val="Char4"/>
    <w:pPr>
      <w:widowControl w:val="0"/>
    </w:pPr>
    <w:rPr>
      <w:b/>
      <w:bCs/>
      <w:kern w:val="2"/>
      <w:sz w:val="21"/>
      <w:szCs w:val="24"/>
      <w:lang w:val="en-US" w:eastAsia="zh-CN"/>
    </w:rPr>
  </w:style>
  <w:style w:type="character" w:customStyle="1" w:styleId="Char4">
    <w:name w:val="批注主题 Char"/>
    <w:basedOn w:val="Char"/>
    <w:link w:val="ac"/>
    <w:rPr>
      <w:rFonts w:eastAsia="宋体"/>
      <w:b/>
      <w:bCs/>
      <w:kern w:val="2"/>
      <w:sz w:val="21"/>
      <w:szCs w:val="24"/>
      <w:lang w:val="en-GB" w:eastAsia="en-US" w:bidi="ar-SA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styleId="ae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36"/>
      <w:sz w:val="48"/>
      <w:szCs w:val="48"/>
    </w:rPr>
  </w:style>
  <w:style w:type="character" w:customStyle="1" w:styleId="highlight">
    <w:name w:val="highlight"/>
    <w:basedOn w:val="a0"/>
  </w:style>
  <w:style w:type="paragraph" w:customStyle="1" w:styleId="10">
    <w:name w:val="标题1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desc">
    <w:name w:val="desc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details">
    <w:name w:val="details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jrnl">
    <w:name w:val="jrnl"/>
    <w:basedOn w:val="a0"/>
  </w:style>
  <w:style w:type="paragraph" w:styleId="af">
    <w:name w:val="Revision"/>
    <w:hidden/>
    <w:uiPriority w:val="99"/>
    <w:semiHidden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 w:val="0"/>
      <w:bCs w:val="0"/>
      <w:i w:val="0"/>
      <w:iCs w:val="0"/>
    </w:rPr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last">
    <w:name w:val="las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rPr>
      <w:color w:val="000000"/>
      <w:u w:val="single"/>
    </w:rPr>
  </w:style>
  <w:style w:type="paragraph" w:styleId="a6">
    <w:name w:val="annotation text"/>
    <w:basedOn w:val="a"/>
    <w:link w:val="Char"/>
    <w:pPr>
      <w:widowControl/>
      <w:jc w:val="left"/>
    </w:pPr>
    <w:rPr>
      <w:kern w:val="0"/>
      <w:sz w:val="20"/>
      <w:szCs w:val="20"/>
      <w:lang w:val="en-GB" w:eastAsia="en-US"/>
    </w:rPr>
  </w:style>
  <w:style w:type="character" w:customStyle="1" w:styleId="Char">
    <w:name w:val="批注文字 Char"/>
    <w:basedOn w:val="a0"/>
    <w:link w:val="a6"/>
    <w:locked/>
    <w:rPr>
      <w:rFonts w:eastAsia="宋体"/>
      <w:lang w:val="en-GB" w:eastAsia="en-US" w:bidi="ar-SA"/>
    </w:rPr>
  </w:style>
  <w:style w:type="paragraph" w:styleId="a7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Pr>
      <w:kern w:val="2"/>
      <w:sz w:val="18"/>
      <w:szCs w:val="18"/>
    </w:rPr>
  </w:style>
  <w:style w:type="paragraph" w:styleId="a8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rPr>
      <w:kern w:val="2"/>
      <w:sz w:val="18"/>
      <w:szCs w:val="18"/>
    </w:rPr>
  </w:style>
  <w:style w:type="paragraph" w:styleId="a9">
    <w:name w:val="Body Text"/>
    <w:basedOn w:val="a"/>
    <w:link w:val="Char2"/>
    <w:uiPriority w:val="99"/>
    <w:pPr>
      <w:widowControl/>
      <w:jc w:val="left"/>
    </w:pPr>
    <w:rPr>
      <w:kern w:val="0"/>
      <w:sz w:val="24"/>
      <w:lang w:eastAsia="en-US"/>
    </w:rPr>
  </w:style>
  <w:style w:type="character" w:customStyle="1" w:styleId="Char2">
    <w:name w:val="正文文本 Char"/>
    <w:basedOn w:val="a0"/>
    <w:link w:val="a9"/>
    <w:uiPriority w:val="99"/>
    <w:rPr>
      <w:sz w:val="24"/>
      <w:szCs w:val="24"/>
      <w:lang w:eastAsia="en-US"/>
    </w:rPr>
  </w:style>
  <w:style w:type="paragraph" w:styleId="aa">
    <w:name w:val="Balloon Text"/>
    <w:basedOn w:val="a"/>
    <w:link w:val="Char3"/>
    <w:rPr>
      <w:sz w:val="18"/>
      <w:szCs w:val="18"/>
    </w:rPr>
  </w:style>
  <w:style w:type="character" w:customStyle="1" w:styleId="Char3">
    <w:name w:val="批注框文本 Char"/>
    <w:basedOn w:val="a0"/>
    <w:link w:val="aa"/>
    <w:rPr>
      <w:kern w:val="2"/>
      <w:sz w:val="18"/>
      <w:szCs w:val="18"/>
    </w:rPr>
  </w:style>
  <w:style w:type="character" w:styleId="ab">
    <w:name w:val="annotation reference"/>
    <w:basedOn w:val="a0"/>
    <w:rPr>
      <w:sz w:val="21"/>
      <w:szCs w:val="21"/>
    </w:rPr>
  </w:style>
  <w:style w:type="paragraph" w:styleId="ac">
    <w:name w:val="annotation subject"/>
    <w:basedOn w:val="a6"/>
    <w:next w:val="a6"/>
    <w:link w:val="Char4"/>
    <w:pPr>
      <w:widowControl w:val="0"/>
    </w:pPr>
    <w:rPr>
      <w:b/>
      <w:bCs/>
      <w:kern w:val="2"/>
      <w:sz w:val="21"/>
      <w:szCs w:val="24"/>
      <w:lang w:val="en-US" w:eastAsia="zh-CN"/>
    </w:rPr>
  </w:style>
  <w:style w:type="character" w:customStyle="1" w:styleId="Char4">
    <w:name w:val="批注主题 Char"/>
    <w:basedOn w:val="Char"/>
    <w:link w:val="ac"/>
    <w:rPr>
      <w:rFonts w:eastAsia="宋体"/>
      <w:b/>
      <w:bCs/>
      <w:kern w:val="2"/>
      <w:sz w:val="21"/>
      <w:szCs w:val="24"/>
      <w:lang w:val="en-GB" w:eastAsia="en-US" w:bidi="ar-SA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pple-converted-space">
    <w:name w:val="apple-converted-space"/>
    <w:basedOn w:val="a0"/>
  </w:style>
  <w:style w:type="character" w:styleId="ae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Char">
    <w:name w:val="标题 1 Char"/>
    <w:basedOn w:val="a0"/>
    <w:link w:val="1"/>
    <w:uiPriority w:val="9"/>
    <w:rPr>
      <w:b/>
      <w:bCs/>
      <w:kern w:val="36"/>
      <w:sz w:val="48"/>
      <w:szCs w:val="48"/>
    </w:rPr>
  </w:style>
  <w:style w:type="character" w:customStyle="1" w:styleId="highlight">
    <w:name w:val="highlight"/>
    <w:basedOn w:val="a0"/>
  </w:style>
  <w:style w:type="paragraph" w:customStyle="1" w:styleId="10">
    <w:name w:val="标题1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desc">
    <w:name w:val="desc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details">
    <w:name w:val="details"/>
    <w:basedOn w:val="a"/>
    <w:pPr>
      <w:widowControl/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character" w:customStyle="1" w:styleId="jrnl">
    <w:name w:val="jrnl"/>
    <w:basedOn w:val="a0"/>
  </w:style>
  <w:style w:type="paragraph" w:styleId="af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7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20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496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9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02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3750">
                  <w:marLeft w:val="0"/>
                  <w:marRight w:val="20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9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4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80041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8072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cbi.nlm.nih.gov/pubmed/2891023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cbi.nlm.nih.gov/pubmed/2484363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-ncbi-nlm-nih-gov.elibrary.einstein.yu.edu/pubmed/2400228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0E030-E187-4544-8D79-D4438756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心房颤动抗凝治疗新选择   新型口服抗凝药达比加群酯在中国获批 </vt:lpstr>
    </vt:vector>
  </TitlesOfParts>
  <Company>Microsoft</Company>
  <LinksUpToDate>false</LinksUpToDate>
  <CharactersWithSpaces>3256</CharactersWithSpaces>
  <SharedDoc>false</SharedDoc>
  <HLinks>
    <vt:vector size="6" baseType="variant">
      <vt:variant>
        <vt:i4>6029332</vt:i4>
      </vt:variant>
      <vt:variant>
        <vt:i4>0</vt:i4>
      </vt:variant>
      <vt:variant>
        <vt:i4>0</vt:i4>
      </vt:variant>
      <vt:variant>
        <vt:i4>5</vt:i4>
      </vt:variant>
      <vt:variant>
        <vt:lpwstr>http://www.lilly.com/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心房颤动抗凝治疗新选择   新型口服抗凝药达比加群酯在中国获批 </dc:title>
  <dc:creator>c</dc:creator>
  <cp:lastModifiedBy>张辉</cp:lastModifiedBy>
  <cp:revision>3</cp:revision>
  <cp:lastPrinted>2017-12-11T07:02:00Z</cp:lastPrinted>
  <dcterms:created xsi:type="dcterms:W3CDTF">2018-01-03T15:26:00Z</dcterms:created>
  <dcterms:modified xsi:type="dcterms:W3CDTF">2018-01-03T15:42:00Z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