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_______________________________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3SBIO INC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</w:rPr>
        <w:t>DIVIDEND POLICY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________________________________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3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32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It is the policy of the Board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of Directors of 3SBio Inc. 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Company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, in considering the payment of dividends, to allow shareholders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of the Company to participate in the Company’s profits whilst retaining adequate reserves for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the Group’s future growth.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The Board shall consider the following factors before declaring or recommending dividends: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ind w:leftChars="200"/>
        <w:jc w:val="lef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•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the Company’s actual and expected financial performance;</w:t>
      </w:r>
    </w:p>
    <w:p>
      <w:pPr>
        <w:ind w:leftChars="200"/>
        <w:jc w:val="lef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• retained earnings and distributable reserves of the Company and each of the members</w:t>
      </w: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of the Group;</w:t>
      </w:r>
    </w:p>
    <w:p>
      <w:pPr>
        <w:ind w:leftChars="200"/>
        <w:jc w:val="lef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• the Group’s working capital requirements, capital expenditure requirements and future</w:t>
      </w: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expansion plans;</w:t>
      </w:r>
    </w:p>
    <w:p>
      <w:pPr>
        <w:ind w:leftChars="200"/>
        <w:jc w:val="lef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• the Group’s liquidity position;</w:t>
      </w:r>
    </w:p>
    <w:p>
      <w:pPr>
        <w:ind w:leftChars="200"/>
        <w:jc w:val="lef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• general economic conditions, business cycle of the Group’s business and other internal</w:t>
      </w: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or external factors that may have an impact on the business or financial performance</w:t>
      </w: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and position of the Company; and</w:t>
      </w:r>
    </w:p>
    <w:p>
      <w:pPr>
        <w:ind w:leftChars="200"/>
        <w:jc w:val="lef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• other factors that the Board deems relevant.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The payment of dividend is also subject to compliance with applicable laws and regulations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including the laws o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f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Cayman Islands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and the Company’s Memorandum and Articles of Association. </w:t>
      </w: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  <w:highlight w:val="none"/>
        </w:rPr>
      </w:pP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sz w:val="24"/>
          <w:highlight w:val="none"/>
        </w:rPr>
        <w:t>s a holding company, the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highlight w:val="none"/>
        </w:rPr>
        <w:t xml:space="preserve">Company is dependent upon the receipt of cash 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distribution</w:t>
      </w:r>
      <w:r>
        <w:rPr>
          <w:rFonts w:hint="default" w:ascii="Times New Roman" w:hAnsi="Times New Roman" w:cs="Times New Roman"/>
          <w:sz w:val="24"/>
          <w:highlight w:val="none"/>
        </w:rPr>
        <w:t xml:space="preserve">s from 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 xml:space="preserve">Shenyang Sansheng, Sunshine Guojian, </w:t>
      </w:r>
      <w:r>
        <w:rPr>
          <w:rFonts w:hint="default" w:ascii="Times New Roman" w:hAnsi="Times New Roman" w:cs="Times New Roman"/>
          <w:sz w:val="24"/>
          <w:highlight w:val="none"/>
        </w:rPr>
        <w:t>and its other subsidiaries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</w:rPr>
        <w:t>to fund any dividend payments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 xml:space="preserve">that the Company makes.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T</w:t>
      </w:r>
      <w:r>
        <w:rPr>
          <w:rFonts w:hint="default" w:ascii="Times New Roman" w:hAnsi="Times New Roman" w:cs="Times New Roman"/>
          <w:sz w:val="24"/>
        </w:rPr>
        <w:t>he ability of these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>subsidiaries to make dividend and other payments to the Company will be restricted by their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 xml:space="preserve">constitutional documents and to the laws of and regulations of the </w:t>
      </w:r>
      <w:r>
        <w:rPr>
          <w:rFonts w:hint="eastAsia" w:ascii="Times New Roman" w:hAnsi="Times New Roman" w:cs="Times New Roman"/>
          <w:sz w:val="24"/>
          <w:lang w:val="en-US" w:eastAsia="zh-CN"/>
        </w:rPr>
        <w:t>People</w:t>
      </w:r>
      <w:r>
        <w:rPr>
          <w:rFonts w:hint="default" w:ascii="Times New Roman" w:hAnsi="Times New Roman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lang w:val="en-US" w:eastAsia="zh-CN"/>
        </w:rPr>
        <w:t>s Republic of China</w:t>
      </w:r>
      <w:r>
        <w:rPr>
          <w:rFonts w:hint="default" w:ascii="Times New Roman" w:hAnsi="Times New Roman" w:cs="Times New Roman"/>
          <w:sz w:val="24"/>
        </w:rPr>
        <w:t xml:space="preserve"> or other relevant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>laws and regulations to which those subsidiaries are subject.</w:t>
      </w: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The text of this policy appears in both English and Chinese languages. In case of discrepancy, the English version shall prevail.</w:t>
      </w: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This policy was </w:t>
      </w:r>
      <w:r>
        <w:rPr>
          <w:rFonts w:hint="eastAsia" w:ascii="Times New Roman" w:hAnsi="Times New Roman" w:cs="Times New Roman"/>
          <w:sz w:val="24"/>
          <w:lang w:val="en-US" w:eastAsia="zh-CN"/>
        </w:rPr>
        <w:t>adopted</w:t>
      </w:r>
      <w:r>
        <w:rPr>
          <w:rFonts w:hint="default" w:ascii="Times New Roman" w:hAnsi="Times New Roman" w:cs="Times New Roman"/>
          <w:sz w:val="24"/>
        </w:rPr>
        <w:t xml:space="preserve"> by resolutions of the directors passed on 20 March 2019. </w:t>
      </w: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_______________________________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tabs>
          <w:tab w:val="center" w:pos="4153"/>
        </w:tabs>
        <w:jc w:val="center"/>
        <w:rPr>
          <w:rStyle w:val="5"/>
          <w:rFonts w:hint="default" w:ascii="隶书" w:hAnsi="隶书" w:eastAsia="隶书" w:cs="隶书"/>
          <w:b/>
          <w:bCs/>
          <w:sz w:val="32"/>
          <w:szCs w:val="32"/>
          <w:u w:val="none"/>
          <w:lang w:val="en-US" w:eastAsia="zh-CN"/>
        </w:rPr>
      </w:pPr>
      <w:r>
        <w:rPr>
          <w:rStyle w:val="5"/>
          <w:rFonts w:hint="default" w:ascii="隶书" w:hAnsi="隶书" w:eastAsia="隶书" w:cs="隶书"/>
          <w:b/>
          <w:bCs/>
          <w:sz w:val="32"/>
          <w:szCs w:val="32"/>
          <w:u w:val="none"/>
          <w:lang w:val="en-US" w:eastAsia="zh-CN"/>
        </w:rPr>
        <w:t>三生制药</w:t>
      </w:r>
      <w:r>
        <w:rPr>
          <w:rStyle w:val="5"/>
          <w:rFonts w:hint="eastAsia" w:ascii="隶书" w:hAnsi="隶书" w:eastAsia="隶书" w:cs="隶书"/>
          <w:b/>
          <w:bCs/>
          <w:sz w:val="32"/>
          <w:szCs w:val="32"/>
          <w:u w:val="none"/>
          <w:lang w:val="en-US" w:eastAsia="zh-CN"/>
        </w:rPr>
        <w:t xml:space="preserve"> </w:t>
      </w:r>
      <w:r>
        <w:rPr>
          <w:rStyle w:val="5"/>
          <w:rFonts w:hint="default" w:ascii="隶书" w:hAnsi="隶书" w:eastAsia="隶书" w:cs="隶书"/>
          <w:b/>
          <w:bCs/>
          <w:sz w:val="32"/>
          <w:szCs w:val="32"/>
          <w:u w:val="none"/>
          <w:lang w:val="en-US" w:eastAsia="zh-CN"/>
        </w:rPr>
        <w:t>股息政策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_______________________________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當釐訂股息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之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分派，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三生制药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董事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之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政策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为：使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本公司股東分享本公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司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盈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利，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且为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本公司發展預留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充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足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资金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董事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eastAsia="zh-CN"/>
        </w:rPr>
        <w:t>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在宣佈派發或建議派發股息前，須考慮下列因素：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</w:pP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• 本公司的實際和預期財務業績；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• 本公司及本集團各附屬公司的留存</w:t>
      </w:r>
      <w:r>
        <w:rPr>
          <w:rFonts w:hint="default" w:ascii="Times New Roman" w:hAnsi="Times New Roman" w:cs="Times New Roman"/>
          <w:sz w:val="24"/>
          <w:highlight w:val="none"/>
        </w:rPr>
        <w:t>盈利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和可分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/>
        </w:rPr>
        <w:t>配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儲備金；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• 本集團預期營運資本要求，資本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支出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要求及未來擴展計劃；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• 本集團的流動資金狀況；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• 整體經濟狀況、本集團業務的商業週期，以及對本公司業務状况、財務</w:t>
      </w:r>
      <w:r>
        <w:rPr>
          <w:rFonts w:hint="default" w:ascii="Times New Roman" w:hAnsi="Times New Roman" w:cs="Times New Roman"/>
          <w:sz w:val="24"/>
        </w:rPr>
        <w:t>状况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可能有影響的內在或外在因素；及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• 董事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認為相關的其他因素。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本公司派付股息亦須遵守適用的法例及規例，包括開曼群島法律及本公司組織章程大綱及公司章程。</w:t>
      </w: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作為控股公司，本公司股息分派</w:t>
      </w:r>
      <w:r>
        <w:rPr>
          <w:rFonts w:hint="eastAsia" w:ascii="Times New Roman" w:hAnsi="Times New Roman" w:cs="Times New Roman"/>
          <w:sz w:val="24"/>
          <w:lang w:val="en-US" w:eastAsia="zh-CN"/>
        </w:rPr>
        <w:t>有</w:t>
      </w:r>
      <w:r>
        <w:rPr>
          <w:rFonts w:hint="default" w:ascii="Times New Roman" w:hAnsi="Times New Roman" w:cs="Times New Roman"/>
          <w:sz w:val="24"/>
        </w:rPr>
        <w:t>賴於</w:t>
      </w:r>
      <w:r>
        <w:rPr>
          <w:rFonts w:hint="eastAsia" w:ascii="Times New Roman" w:hAnsi="Times New Roman" w:cs="Times New Roman"/>
          <w:sz w:val="24"/>
          <w:lang w:val="en-US" w:eastAsia="zh-CN"/>
        </w:rPr>
        <w:t>沈阳三生，三生国健</w:t>
      </w:r>
      <w:r>
        <w:rPr>
          <w:rFonts w:hint="default" w:ascii="Times New Roman" w:hAnsi="Times New Roman" w:cs="Times New Roman"/>
          <w:sz w:val="24"/>
        </w:rPr>
        <w:t>及其他附屬公司</w:t>
      </w:r>
      <w:r>
        <w:rPr>
          <w:rFonts w:hint="eastAsia" w:ascii="Times New Roman" w:hAnsi="Times New Roman" w:cs="Times New Roman"/>
          <w:sz w:val="24"/>
          <w:lang w:val="en-US" w:eastAsia="zh-CN"/>
        </w:rPr>
        <w:t>向</w:t>
      </w:r>
      <w:r>
        <w:rPr>
          <w:rFonts w:hint="default" w:ascii="Times New Roman" w:hAnsi="Times New Roman" w:cs="Times New Roman"/>
          <w:sz w:val="24"/>
        </w:rPr>
        <w:t>本公司提供資金。該等附屬公司向本公司派付股息及</w:t>
      </w:r>
      <w:r>
        <w:rPr>
          <w:rFonts w:hint="eastAsia" w:ascii="Times New Roman" w:hAnsi="Times New Roman" w:cs="Times New Roman"/>
          <w:sz w:val="24"/>
          <w:lang w:val="en-US" w:eastAsia="zh-CN"/>
        </w:rPr>
        <w:t>提供</w:t>
      </w:r>
      <w:r>
        <w:rPr>
          <w:rFonts w:hint="default" w:ascii="Times New Roman" w:hAnsi="Times New Roman" w:cs="Times New Roman"/>
          <w:sz w:val="24"/>
        </w:rPr>
        <w:t>其他分派的能力將受彼等的</w:t>
      </w:r>
      <w:r>
        <w:rPr>
          <w:rFonts w:hint="eastAsia" w:ascii="Times New Roman" w:hAnsi="Times New Roman" w:cs="Times New Roman"/>
          <w:sz w:val="24"/>
          <w:lang w:val="en-US" w:eastAsia="zh-CN"/>
        </w:rPr>
        <w:t>章程</w:t>
      </w:r>
      <w:r>
        <w:rPr>
          <w:rFonts w:hint="default" w:ascii="Times New Roman" w:hAnsi="Times New Roman" w:cs="Times New Roman"/>
          <w:sz w:val="24"/>
        </w:rPr>
        <w:t>文件、</w:t>
      </w:r>
      <w:r>
        <w:rPr>
          <w:rFonts w:hint="eastAsia" w:ascii="Times New Roman" w:hAnsi="Times New Roman" w:cs="Times New Roman"/>
          <w:sz w:val="24"/>
          <w:lang w:val="en-US" w:eastAsia="zh-CN"/>
        </w:rPr>
        <w:t>中国</w:t>
      </w:r>
      <w:r>
        <w:rPr>
          <w:rFonts w:hint="default" w:ascii="Times New Roman" w:hAnsi="Times New Roman" w:cs="Times New Roman"/>
          <w:sz w:val="24"/>
        </w:rPr>
        <w:t>法律及法規或該等附屬公司所須遵守的其他相關法律及法規所限。</w:t>
      </w: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本政策文本分為中英文版本。若兩者出現差異，概以英文版本為準。</w:t>
      </w: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本政策於2019年3月20日的董事會決議通過予以採納。</w:t>
      </w:r>
    </w:p>
    <w:p>
      <w:pPr>
        <w:numPr>
          <w:ilvl w:val="-1"/>
          <w:numId w:val="0"/>
        </w:numPr>
        <w:ind w:left="0" w:firstLine="0"/>
        <w:jc w:val="left"/>
        <w:rPr>
          <w:rFonts w:hint="default" w:ascii="Times New Roman" w:hAnsi="Times New Roman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LTStd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311E7"/>
    <w:rsid w:val="00FE74AD"/>
    <w:rsid w:val="033B5992"/>
    <w:rsid w:val="03AD0281"/>
    <w:rsid w:val="14007D8B"/>
    <w:rsid w:val="179E01E8"/>
    <w:rsid w:val="188A5888"/>
    <w:rsid w:val="18980673"/>
    <w:rsid w:val="19C202E1"/>
    <w:rsid w:val="1C292D35"/>
    <w:rsid w:val="1C7E688F"/>
    <w:rsid w:val="1EA00381"/>
    <w:rsid w:val="2005731C"/>
    <w:rsid w:val="21D35B3B"/>
    <w:rsid w:val="23C34480"/>
    <w:rsid w:val="26535DE1"/>
    <w:rsid w:val="29DF0004"/>
    <w:rsid w:val="2D4B04BD"/>
    <w:rsid w:val="2FDB27E4"/>
    <w:rsid w:val="30181B4E"/>
    <w:rsid w:val="30492BA9"/>
    <w:rsid w:val="329C7FF5"/>
    <w:rsid w:val="353267EB"/>
    <w:rsid w:val="369F0394"/>
    <w:rsid w:val="36E942C2"/>
    <w:rsid w:val="3B20217F"/>
    <w:rsid w:val="3DFC2054"/>
    <w:rsid w:val="3E1456B1"/>
    <w:rsid w:val="3E9D7805"/>
    <w:rsid w:val="3FCB7485"/>
    <w:rsid w:val="413311E7"/>
    <w:rsid w:val="42615298"/>
    <w:rsid w:val="427C5E27"/>
    <w:rsid w:val="46533958"/>
    <w:rsid w:val="47A42113"/>
    <w:rsid w:val="4B346DE2"/>
    <w:rsid w:val="4FD866BB"/>
    <w:rsid w:val="565D0EEF"/>
    <w:rsid w:val="571B1367"/>
    <w:rsid w:val="57745258"/>
    <w:rsid w:val="59E66A61"/>
    <w:rsid w:val="60975CB9"/>
    <w:rsid w:val="615A72A0"/>
    <w:rsid w:val="620425AC"/>
    <w:rsid w:val="62BD4FAE"/>
    <w:rsid w:val="63451F1F"/>
    <w:rsid w:val="651378A8"/>
    <w:rsid w:val="66957268"/>
    <w:rsid w:val="679D45FE"/>
    <w:rsid w:val="6D464111"/>
    <w:rsid w:val="6DBD056A"/>
    <w:rsid w:val="6EDB2C63"/>
    <w:rsid w:val="72725243"/>
    <w:rsid w:val="73FD10E8"/>
    <w:rsid w:val="76A96523"/>
    <w:rsid w:val="77866FAA"/>
    <w:rsid w:val="77966198"/>
    <w:rsid w:val="79A01535"/>
    <w:rsid w:val="7B466E9C"/>
    <w:rsid w:val="7D410D20"/>
    <w:rsid w:val="7D5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ascii="HelveticaLTStd-Bold" w:hAnsi="HelveticaLTStd-Bold" w:eastAsia="HelveticaLTStd-Bold" w:cs="HelveticaLTStd-Bold"/>
      <w:b/>
      <w:color w:val="231916"/>
      <w:sz w:val="26"/>
      <w:szCs w:val="26"/>
    </w:rPr>
  </w:style>
  <w:style w:type="character" w:customStyle="1" w:styleId="5">
    <w:name w:val="fontstyle21"/>
    <w:basedOn w:val="3"/>
    <w:qFormat/>
    <w:uiPriority w:val="0"/>
    <w:rPr>
      <w:rFonts w:hint="default" w:ascii="Arial" w:hAnsi="Arial" w:cs="Arial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2019-03-08T14:09:00Z</dcterms:created>
  <dc:creator>Bo LI</dc:creator>
  <cp:lastModifiedBy>Bo LI</cp:lastModifiedBy>
  <dcterms:modified xsi:type="dcterms:W3CDTF">2019-05-23T04:02:28Z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